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942" w:rsidRPr="00545DB2" w:rsidRDefault="00721942" w:rsidP="00545DB2">
      <w:pPr>
        <w:pStyle w:val="IntenseQuote"/>
        <w:shd w:val="clear" w:color="auto" w:fill="DBE5F1" w:themeFill="accent1" w:themeFillTint="33"/>
        <w:rPr>
          <w:color w:val="0F243E" w:themeColor="text2" w:themeShade="80"/>
          <w:sz w:val="32"/>
          <w:szCs w:val="32"/>
        </w:rPr>
      </w:pPr>
      <w:bookmarkStart w:id="0" w:name="_GoBack"/>
      <w:bookmarkEnd w:id="0"/>
      <w:r w:rsidRPr="00545DB2">
        <w:rPr>
          <w:b/>
          <w:i w:val="0"/>
          <w:color w:val="0F243E" w:themeColor="text2" w:themeShade="80"/>
          <w:sz w:val="32"/>
          <w:szCs w:val="32"/>
        </w:rPr>
        <w:t xml:space="preserve">Analysis of </w:t>
      </w:r>
      <w:r w:rsidR="008D2B0B" w:rsidRPr="00545DB2">
        <w:rPr>
          <w:b/>
          <w:i w:val="0"/>
          <w:color w:val="0F243E" w:themeColor="text2" w:themeShade="80"/>
          <w:sz w:val="32"/>
          <w:szCs w:val="32"/>
        </w:rPr>
        <w:t xml:space="preserve">School District of Philadelphia </w:t>
      </w:r>
      <w:r w:rsidRPr="00545DB2">
        <w:rPr>
          <w:b/>
          <w:i w:val="0"/>
          <w:color w:val="0F243E" w:themeColor="text2" w:themeShade="80"/>
          <w:sz w:val="32"/>
          <w:szCs w:val="32"/>
        </w:rPr>
        <w:t>Career and Technical Education</w:t>
      </w:r>
      <w:r w:rsidR="008D2B0B" w:rsidRPr="00545DB2">
        <w:rPr>
          <w:b/>
          <w:i w:val="0"/>
          <w:color w:val="0F243E" w:themeColor="text2" w:themeShade="80"/>
          <w:sz w:val="32"/>
          <w:szCs w:val="32"/>
        </w:rPr>
        <w:t xml:space="preserve"> </w:t>
      </w:r>
      <w:r w:rsidRPr="00545DB2">
        <w:rPr>
          <w:b/>
          <w:i w:val="0"/>
          <w:color w:val="0F243E" w:themeColor="text2" w:themeShade="80"/>
          <w:sz w:val="32"/>
          <w:szCs w:val="32"/>
        </w:rPr>
        <w:t xml:space="preserve">(CTE) </w:t>
      </w:r>
      <w:r w:rsidR="008D2B0B" w:rsidRPr="00545DB2">
        <w:rPr>
          <w:b/>
          <w:i w:val="0"/>
          <w:color w:val="0F243E" w:themeColor="text2" w:themeShade="80"/>
          <w:sz w:val="32"/>
          <w:szCs w:val="32"/>
        </w:rPr>
        <w:t>Students in 2012-16 Cohort</w:t>
      </w:r>
    </w:p>
    <w:p w:rsidR="0079506A" w:rsidRDefault="0079506A" w:rsidP="00C913F9"/>
    <w:p w:rsidR="00C913F9" w:rsidRPr="00C913F9" w:rsidRDefault="00C913F9" w:rsidP="00C913F9">
      <w:r>
        <w:t>A study of the 9</w:t>
      </w:r>
      <w:r w:rsidRPr="00C913F9">
        <w:rPr>
          <w:vertAlign w:val="superscript"/>
        </w:rPr>
        <w:t>th</w:t>
      </w:r>
      <w:r>
        <w:t xml:space="preserve"> </w:t>
      </w:r>
      <w:r w:rsidR="008D2B0B">
        <w:t>g</w:t>
      </w:r>
      <w:r>
        <w:t xml:space="preserve">rade cohort of high school students entering high school in 2012-13 was conducted by the School District of Philadelphia’s </w:t>
      </w:r>
      <w:r w:rsidRPr="00C913F9">
        <w:t>Office of Research and Evaluation (ORE)</w:t>
      </w:r>
      <w:r w:rsidR="00721942">
        <w:t xml:space="preserve"> in collaboration with the Office of Career and Technical Education (OCTE)</w:t>
      </w:r>
      <w:r>
        <w:t>. Each year, ORE</w:t>
      </w:r>
      <w:r w:rsidRPr="00C913F9">
        <w:t xml:space="preserve"> conducts an analysis of the outcomes of students that participate in the District’s </w:t>
      </w:r>
      <w:r w:rsidR="008D2B0B">
        <w:t>Career and Technical Education (</w:t>
      </w:r>
      <w:r w:rsidRPr="00C913F9">
        <w:t>CTE</w:t>
      </w:r>
      <w:r w:rsidR="008D2B0B">
        <w:t>)</w:t>
      </w:r>
      <w:r w:rsidRPr="00C913F9">
        <w:t xml:space="preserve"> offerings. </w:t>
      </w:r>
      <w:r>
        <w:t>Below</w:t>
      </w:r>
      <w:r w:rsidRPr="00C913F9">
        <w:t xml:space="preserve"> is a summary of th</w:t>
      </w:r>
      <w:r w:rsidR="008D2B0B">
        <w:t xml:space="preserve">e analysis </w:t>
      </w:r>
      <w:r w:rsidRPr="00C913F9">
        <w:t xml:space="preserve">and focuses on some key comparisons between students that took CTE courses and those that did not. </w:t>
      </w:r>
      <w:r>
        <w:t xml:space="preserve">In </w:t>
      </w:r>
      <w:r w:rsidR="008D2B0B">
        <w:t xml:space="preserve">examining the </w:t>
      </w:r>
      <w:r>
        <w:t>four years beginning with the 9</w:t>
      </w:r>
      <w:r w:rsidRPr="00C913F9">
        <w:rPr>
          <w:vertAlign w:val="superscript"/>
        </w:rPr>
        <w:t>th</w:t>
      </w:r>
      <w:r>
        <w:t xml:space="preserve"> Grade cohort in 2012-13 and ending with their scheduled graduation in 2015-16, the </w:t>
      </w:r>
      <w:r w:rsidRPr="00C913F9">
        <w:t xml:space="preserve">report </w:t>
      </w:r>
      <w:r>
        <w:t>analyzes the following</w:t>
      </w:r>
      <w:r w:rsidRPr="00C913F9">
        <w:t xml:space="preserve">: </w:t>
      </w:r>
    </w:p>
    <w:p w:rsidR="00C913F9" w:rsidRDefault="00C913F9" w:rsidP="00C913F9"/>
    <w:p w:rsidR="00C913F9" w:rsidRPr="00083800" w:rsidRDefault="00C913F9" w:rsidP="00C913F9">
      <w:pPr>
        <w:pStyle w:val="ListParagraph"/>
        <w:numPr>
          <w:ilvl w:val="0"/>
          <w:numId w:val="2"/>
        </w:numPr>
        <w:rPr>
          <w:b/>
        </w:rPr>
      </w:pPr>
      <w:r w:rsidRPr="00083800">
        <w:rPr>
          <w:b/>
        </w:rPr>
        <w:t>Cohort characteristics including demographics, pr</w:t>
      </w:r>
      <w:r w:rsidR="008D2B0B" w:rsidRPr="00083800">
        <w:rPr>
          <w:b/>
        </w:rPr>
        <w:t>ior achievement, and attendance</w:t>
      </w:r>
    </w:p>
    <w:p w:rsidR="00721942" w:rsidRPr="00083800" w:rsidRDefault="00C913F9" w:rsidP="00C913F9">
      <w:pPr>
        <w:pStyle w:val="ListParagraph"/>
        <w:numPr>
          <w:ilvl w:val="0"/>
          <w:numId w:val="2"/>
        </w:numPr>
        <w:rPr>
          <w:b/>
        </w:rPr>
      </w:pPr>
      <w:r w:rsidRPr="00083800">
        <w:rPr>
          <w:b/>
        </w:rPr>
        <w:t>Graduation outcomes</w:t>
      </w:r>
    </w:p>
    <w:p w:rsidR="00E71891" w:rsidRPr="00083800" w:rsidRDefault="00C913F9" w:rsidP="00C913F9">
      <w:pPr>
        <w:pStyle w:val="ListParagraph"/>
        <w:numPr>
          <w:ilvl w:val="0"/>
          <w:numId w:val="2"/>
        </w:numPr>
        <w:rPr>
          <w:b/>
        </w:rPr>
      </w:pPr>
      <w:r w:rsidRPr="00083800">
        <w:rPr>
          <w:b/>
        </w:rPr>
        <w:t>Credit accumulation</w:t>
      </w:r>
    </w:p>
    <w:p w:rsidR="00C913F9" w:rsidRPr="00545DB2" w:rsidRDefault="00C913F9" w:rsidP="00545DB2">
      <w:pPr>
        <w:pStyle w:val="IntenseQuote"/>
        <w:shd w:val="clear" w:color="auto" w:fill="DBE5F1" w:themeFill="accent1" w:themeFillTint="33"/>
        <w:rPr>
          <w:b/>
          <w:i w:val="0"/>
          <w:color w:val="0F243E" w:themeColor="text2" w:themeShade="80"/>
          <w:sz w:val="24"/>
          <w:szCs w:val="24"/>
        </w:rPr>
      </w:pPr>
      <w:r w:rsidRPr="00545DB2">
        <w:rPr>
          <w:b/>
          <w:i w:val="0"/>
          <w:color w:val="0F243E" w:themeColor="text2" w:themeShade="80"/>
          <w:sz w:val="24"/>
          <w:szCs w:val="24"/>
        </w:rPr>
        <w:t>Cohort Characteristics</w:t>
      </w:r>
    </w:p>
    <w:p w:rsidR="00721942" w:rsidRDefault="00C913F9" w:rsidP="00171383">
      <w:r w:rsidRPr="00C16EBA">
        <w:t>This study only includes the data for students that were first-time 9</w:t>
      </w:r>
      <w:r w:rsidRPr="00171383">
        <w:rPr>
          <w:vertAlign w:val="superscript"/>
        </w:rPr>
        <w:t>th</w:t>
      </w:r>
      <w:r w:rsidRPr="00C16EBA">
        <w:t xml:space="preserve"> graders in 2012-2013. It does not include students that joined this cohort in later years. All included students are referred to as the “Cohort,” </w:t>
      </w:r>
      <w:r w:rsidR="00C16EBA" w:rsidRPr="00C16EBA">
        <w:t xml:space="preserve">and is </w:t>
      </w:r>
      <w:r w:rsidRPr="00C16EBA">
        <w:t xml:space="preserve">divided into </w:t>
      </w:r>
      <w:r w:rsidR="00C16EBA" w:rsidRPr="00C16EBA">
        <w:t xml:space="preserve">two subgroups: </w:t>
      </w:r>
      <w:r w:rsidRPr="00171383">
        <w:rPr>
          <w:b/>
          <w:i/>
        </w:rPr>
        <w:t>CTE</w:t>
      </w:r>
      <w:r w:rsidRPr="00171383">
        <w:rPr>
          <w:b/>
        </w:rPr>
        <w:t xml:space="preserve"> </w:t>
      </w:r>
      <w:r w:rsidRPr="00C16EBA">
        <w:t xml:space="preserve">and </w:t>
      </w:r>
      <w:r w:rsidRPr="00171383">
        <w:rPr>
          <w:b/>
          <w:i/>
        </w:rPr>
        <w:t>Non-CTE</w:t>
      </w:r>
      <w:r w:rsidR="00C16EBA" w:rsidRPr="00C16EBA">
        <w:t>.</w:t>
      </w:r>
    </w:p>
    <w:p w:rsidR="00171383" w:rsidRDefault="00171383" w:rsidP="00171383">
      <w:pPr>
        <w:rPr>
          <w:i/>
        </w:rPr>
      </w:pPr>
    </w:p>
    <w:p w:rsidR="00721942" w:rsidRDefault="00171383" w:rsidP="00171383">
      <w:r w:rsidRPr="00171383">
        <w:rPr>
          <w:i/>
        </w:rPr>
        <w:t>C</w:t>
      </w:r>
      <w:r w:rsidR="00C16EBA" w:rsidRPr="00171383">
        <w:rPr>
          <w:i/>
        </w:rPr>
        <w:t>TE</w:t>
      </w:r>
      <w:r w:rsidR="00C16EBA" w:rsidRPr="00C16EBA">
        <w:t xml:space="preserve"> students are defined as a student who took any type of a CTE course (within an approved CTE Program of Study) at any time during the four years in high school. </w:t>
      </w:r>
      <w:r w:rsidR="00C913F9" w:rsidRPr="00C16EBA">
        <w:t xml:space="preserve">All other students are considered </w:t>
      </w:r>
      <w:r w:rsidR="00C913F9" w:rsidRPr="00171383">
        <w:rPr>
          <w:i/>
        </w:rPr>
        <w:t>Non-CTE</w:t>
      </w:r>
      <w:r w:rsidR="00C913F9" w:rsidRPr="00C16EBA">
        <w:t>.</w:t>
      </w:r>
      <w:r>
        <w:t xml:space="preserve">  At the present time, </w:t>
      </w:r>
      <w:r w:rsidR="00C16EBA" w:rsidRPr="00C16EBA">
        <w:t>t</w:t>
      </w:r>
      <w:r w:rsidR="00C913F9" w:rsidRPr="00C16EBA">
        <w:t xml:space="preserve">here are </w:t>
      </w:r>
      <w:r w:rsidR="00C16EBA" w:rsidRPr="00C16EBA">
        <w:t>five</w:t>
      </w:r>
      <w:r w:rsidR="00C913F9" w:rsidRPr="00C16EBA">
        <w:t xml:space="preserve"> all-CTE </w:t>
      </w:r>
      <w:r w:rsidR="00C16EBA" w:rsidRPr="00C16EBA">
        <w:t>s</w:t>
      </w:r>
      <w:r w:rsidR="00C913F9" w:rsidRPr="00C16EBA">
        <w:t xml:space="preserve">chools in </w:t>
      </w:r>
      <w:r w:rsidR="00C16EBA" w:rsidRPr="00C16EBA">
        <w:t>the School District of Philadelphia (SDP)</w:t>
      </w:r>
      <w:r w:rsidR="00C913F9" w:rsidRPr="00C16EBA">
        <w:t xml:space="preserve">. Students apply for admission to these schools, and all students in grades 10-12 participate in CTE. There are other schools </w:t>
      </w:r>
      <w:r w:rsidR="00C16EBA" w:rsidRPr="00C16EBA">
        <w:t xml:space="preserve">(i.e. neighborhood, special admission) </w:t>
      </w:r>
      <w:r w:rsidR="00C913F9" w:rsidRPr="00C16EBA">
        <w:t>that also offer CTE courses alongside more traditional ac</w:t>
      </w:r>
      <w:r w:rsidR="00C16EBA" w:rsidRPr="00C16EBA">
        <w:t>ademic curricula.</w:t>
      </w:r>
      <w:r w:rsidR="00C913F9" w:rsidRPr="00C16EBA">
        <w:t xml:space="preserve"> </w:t>
      </w:r>
    </w:p>
    <w:p w:rsidR="007221B0" w:rsidRDefault="007221B0" w:rsidP="00171383"/>
    <w:p w:rsidR="004B2DB5" w:rsidRPr="0037058C" w:rsidRDefault="0037058C" w:rsidP="004B2DB5">
      <w:pPr>
        <w:rPr>
          <w:b/>
        </w:rPr>
      </w:pPr>
      <w:r w:rsidRPr="0037058C">
        <w:rPr>
          <w:b/>
        </w:rPr>
        <w:t>1.</w:t>
      </w:r>
      <w:r w:rsidRPr="0037058C">
        <w:rPr>
          <w:b/>
        </w:rPr>
        <w:tab/>
      </w:r>
      <w:r w:rsidR="007221B0">
        <w:rPr>
          <w:b/>
        </w:rPr>
        <w:t>CTE</w:t>
      </w:r>
      <w:r w:rsidR="004B2DB5" w:rsidRPr="0037058C">
        <w:rPr>
          <w:b/>
        </w:rPr>
        <w:t xml:space="preserve"> students are more likely to be Black (62.2%) or Hispanic (20.4%).</w:t>
      </w:r>
    </w:p>
    <w:p w:rsidR="004B2DB5" w:rsidRPr="00C16EBA" w:rsidRDefault="004B2DB5" w:rsidP="00171383"/>
    <w:p w:rsidR="00721942" w:rsidRDefault="00171383" w:rsidP="00171383">
      <w:pPr>
        <w:jc w:val="center"/>
      </w:pPr>
      <w:r w:rsidRPr="00171383">
        <w:rPr>
          <w:b/>
          <w:noProof/>
        </w:rPr>
        <w:drawing>
          <wp:inline distT="0" distB="0" distL="0" distR="0" wp14:anchorId="3BA56CDF" wp14:editId="544E7A68">
            <wp:extent cx="3721210" cy="1550504"/>
            <wp:effectExtent l="0" t="0" r="12700" b="1206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71383" w:rsidRDefault="00171383" w:rsidP="00C913F9"/>
    <w:p w:rsidR="008D2B0B" w:rsidRDefault="008D2B0B" w:rsidP="0037058C">
      <w:pPr>
        <w:rPr>
          <w:b/>
        </w:rPr>
      </w:pPr>
    </w:p>
    <w:p w:rsidR="0079506A" w:rsidRDefault="0079506A" w:rsidP="0037058C">
      <w:pPr>
        <w:rPr>
          <w:b/>
        </w:rPr>
      </w:pPr>
    </w:p>
    <w:p w:rsidR="0079506A" w:rsidRDefault="0079506A" w:rsidP="0037058C">
      <w:pPr>
        <w:rPr>
          <w:b/>
        </w:rPr>
      </w:pPr>
    </w:p>
    <w:p w:rsidR="007221B0" w:rsidRDefault="0037058C" w:rsidP="0037058C">
      <w:pPr>
        <w:rPr>
          <w:b/>
        </w:rPr>
      </w:pPr>
      <w:r w:rsidRPr="0037058C">
        <w:rPr>
          <w:b/>
        </w:rPr>
        <w:lastRenderedPageBreak/>
        <w:t>2.</w:t>
      </w:r>
      <w:r w:rsidRPr="0037058C">
        <w:rPr>
          <w:b/>
        </w:rPr>
        <w:tab/>
      </w:r>
      <w:r w:rsidR="007221B0">
        <w:rPr>
          <w:b/>
        </w:rPr>
        <w:t xml:space="preserve">Males made up the greatest population </w:t>
      </w:r>
      <w:r w:rsidR="00E85683">
        <w:rPr>
          <w:b/>
        </w:rPr>
        <w:t>in</w:t>
      </w:r>
      <w:r w:rsidR="007221B0">
        <w:rPr>
          <w:b/>
        </w:rPr>
        <w:t xml:space="preserve"> CTE programs (55.4%) </w:t>
      </w:r>
      <w:r w:rsidRPr="0037058C">
        <w:rPr>
          <w:b/>
        </w:rPr>
        <w:t>than non-CTE programs</w:t>
      </w:r>
      <w:r w:rsidR="007221B0">
        <w:rPr>
          <w:b/>
        </w:rPr>
        <w:t xml:space="preserve"> (44.6%). </w:t>
      </w:r>
    </w:p>
    <w:p w:rsidR="004B2DB5" w:rsidRPr="0037058C" w:rsidRDefault="00934CC4" w:rsidP="0037058C">
      <w:pPr>
        <w:rPr>
          <w:b/>
          <w:sz w:val="28"/>
          <w:szCs w:val="28"/>
        </w:rPr>
      </w:pPr>
      <w:r w:rsidRPr="0037058C">
        <w:rPr>
          <w:b/>
          <w:sz w:val="28"/>
          <w:szCs w:val="28"/>
        </w:rPr>
        <w:t xml:space="preserve">   </w:t>
      </w:r>
    </w:p>
    <w:p w:rsidR="00934CC4" w:rsidRDefault="00934CC4" w:rsidP="00934CC4">
      <w:pPr>
        <w:jc w:val="center"/>
        <w:rPr>
          <w:b/>
          <w:u w:val="single"/>
        </w:rPr>
      </w:pPr>
      <w:r w:rsidRPr="007221B0">
        <w:rPr>
          <w:b/>
          <w:noProof/>
        </w:rPr>
        <w:drawing>
          <wp:inline distT="0" distB="0" distL="0" distR="0">
            <wp:extent cx="3760967" cy="1455089"/>
            <wp:effectExtent l="0" t="0" r="11430" b="1206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D2B0B" w:rsidRDefault="008D2B0B" w:rsidP="0037058C">
      <w:pPr>
        <w:ind w:left="720" w:hanging="720"/>
        <w:rPr>
          <w:b/>
        </w:rPr>
      </w:pPr>
    </w:p>
    <w:p w:rsidR="008D2B0B" w:rsidRDefault="008D2B0B" w:rsidP="0037058C">
      <w:pPr>
        <w:ind w:left="720" w:hanging="720"/>
        <w:rPr>
          <w:b/>
        </w:rPr>
      </w:pPr>
    </w:p>
    <w:p w:rsidR="004B2DB5" w:rsidRPr="0037058C" w:rsidRDefault="0037058C" w:rsidP="0037058C">
      <w:pPr>
        <w:ind w:left="720" w:hanging="720"/>
        <w:rPr>
          <w:b/>
        </w:rPr>
      </w:pPr>
      <w:r w:rsidRPr="0037058C">
        <w:rPr>
          <w:b/>
        </w:rPr>
        <w:t>3.</w:t>
      </w:r>
      <w:r w:rsidRPr="0037058C">
        <w:rPr>
          <w:b/>
        </w:rPr>
        <w:tab/>
        <w:t xml:space="preserve">There are more economically disadvantaged students in CTE programs (65.2%) than non-CTE programs. There are also </w:t>
      </w:r>
      <w:r w:rsidR="00EA2FA0">
        <w:rPr>
          <w:b/>
        </w:rPr>
        <w:t xml:space="preserve">a lower percentage of </w:t>
      </w:r>
      <w:r w:rsidRPr="0037058C">
        <w:rPr>
          <w:b/>
        </w:rPr>
        <w:t>English Language Learner (ELL) students (7.9%) and IEP students (16.6%) in CTE programs.</w:t>
      </w:r>
    </w:p>
    <w:p w:rsidR="0037058C" w:rsidRDefault="0037058C" w:rsidP="00C913F9">
      <w:pPr>
        <w:rPr>
          <w:b/>
          <w:u w:val="single"/>
        </w:rPr>
      </w:pPr>
    </w:p>
    <w:p w:rsidR="00A07543" w:rsidRDefault="00A07543" w:rsidP="00A07543">
      <w:pPr>
        <w:jc w:val="center"/>
        <w:rPr>
          <w:b/>
          <w:u w:val="single"/>
        </w:rPr>
      </w:pPr>
      <w:r w:rsidRPr="007221B0">
        <w:rPr>
          <w:b/>
          <w:noProof/>
          <w:sz w:val="16"/>
          <w:szCs w:val="16"/>
        </w:rPr>
        <w:drawing>
          <wp:inline distT="0" distB="0" distL="0" distR="0">
            <wp:extent cx="3919993" cy="1470992"/>
            <wp:effectExtent l="0" t="0" r="4445" b="1524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07543" w:rsidRDefault="00A07543" w:rsidP="00C913F9">
      <w:pPr>
        <w:rPr>
          <w:b/>
          <w:u w:val="single"/>
        </w:rPr>
      </w:pPr>
    </w:p>
    <w:p w:rsidR="008D2B0B" w:rsidRDefault="008D2B0B" w:rsidP="0037058C">
      <w:pPr>
        <w:ind w:left="720" w:hanging="720"/>
        <w:rPr>
          <w:b/>
        </w:rPr>
      </w:pPr>
    </w:p>
    <w:p w:rsidR="0037058C" w:rsidRPr="0037058C" w:rsidRDefault="0037058C" w:rsidP="0037058C">
      <w:pPr>
        <w:ind w:left="720" w:hanging="720"/>
        <w:rPr>
          <w:b/>
        </w:rPr>
      </w:pPr>
      <w:r w:rsidRPr="0037058C">
        <w:rPr>
          <w:b/>
        </w:rPr>
        <w:t>4.</w:t>
      </w:r>
      <w:r w:rsidRPr="0037058C">
        <w:rPr>
          <w:b/>
        </w:rPr>
        <w:tab/>
      </w:r>
      <w:r>
        <w:rPr>
          <w:b/>
        </w:rPr>
        <w:t>Students in CTE programs had a greater Average Daily Attendance (ADA) prior to entering 9</w:t>
      </w:r>
      <w:r w:rsidRPr="0037058C">
        <w:rPr>
          <w:b/>
          <w:vertAlign w:val="superscript"/>
        </w:rPr>
        <w:t>th</w:t>
      </w:r>
      <w:r>
        <w:rPr>
          <w:b/>
        </w:rPr>
        <w:t xml:space="preserve"> grade (88.5%).</w:t>
      </w:r>
    </w:p>
    <w:p w:rsidR="0037058C" w:rsidRPr="0037058C" w:rsidRDefault="004B2DB5" w:rsidP="004B2DB5">
      <w:pPr>
        <w:ind w:left="1440" w:firstLine="720"/>
        <w:rPr>
          <w:b/>
          <w:sz w:val="18"/>
          <w:szCs w:val="18"/>
        </w:rPr>
      </w:pPr>
      <w:r>
        <w:rPr>
          <w:b/>
          <w:sz w:val="28"/>
          <w:szCs w:val="28"/>
        </w:rPr>
        <w:t xml:space="preserve">    </w:t>
      </w:r>
    </w:p>
    <w:p w:rsidR="0019334D" w:rsidRDefault="006B4D82" w:rsidP="004B2DB5">
      <w:pPr>
        <w:jc w:val="center"/>
        <w:rPr>
          <w:b/>
          <w:u w:val="single"/>
        </w:rPr>
      </w:pPr>
      <w:r w:rsidRPr="007221B0">
        <w:rPr>
          <w:b/>
          <w:noProof/>
        </w:rPr>
        <w:drawing>
          <wp:inline distT="0" distB="0" distL="0" distR="0">
            <wp:extent cx="4039125" cy="1383527"/>
            <wp:effectExtent l="0" t="0" r="0" b="762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9334D" w:rsidRDefault="0019334D" w:rsidP="00C913F9">
      <w:pPr>
        <w:rPr>
          <w:b/>
          <w:u w:val="single"/>
        </w:rPr>
      </w:pPr>
    </w:p>
    <w:p w:rsidR="0079506A" w:rsidRDefault="0079506A" w:rsidP="006D7A14">
      <w:pPr>
        <w:ind w:left="720" w:hanging="720"/>
        <w:rPr>
          <w:b/>
        </w:rPr>
      </w:pPr>
    </w:p>
    <w:p w:rsidR="0019334D" w:rsidRPr="0037058C" w:rsidRDefault="0037058C" w:rsidP="006D7A14">
      <w:pPr>
        <w:ind w:left="720" w:hanging="720"/>
        <w:rPr>
          <w:b/>
        </w:rPr>
      </w:pPr>
      <w:r w:rsidRPr="0037058C">
        <w:rPr>
          <w:b/>
        </w:rPr>
        <w:t>5.</w:t>
      </w:r>
      <w:r w:rsidRPr="0037058C">
        <w:rPr>
          <w:b/>
        </w:rPr>
        <w:tab/>
      </w:r>
      <w:r w:rsidR="00EA2FA0">
        <w:rPr>
          <w:b/>
        </w:rPr>
        <w:t xml:space="preserve">CTE student had a lower percentage of students </w:t>
      </w:r>
      <w:r w:rsidR="006D7A14">
        <w:rPr>
          <w:b/>
        </w:rPr>
        <w:t>who achieved Proficient or Advanced (51.6% Reading; 48.6% Math) levels in their 8</w:t>
      </w:r>
      <w:r w:rsidR="006D7A14" w:rsidRPr="006D7A14">
        <w:rPr>
          <w:b/>
          <w:vertAlign w:val="superscript"/>
        </w:rPr>
        <w:t>th</w:t>
      </w:r>
      <w:r w:rsidR="006D7A14">
        <w:rPr>
          <w:b/>
        </w:rPr>
        <w:t xml:space="preserve"> Grade PSSA testing prior to entering high school.</w:t>
      </w:r>
    </w:p>
    <w:p w:rsidR="0019334D" w:rsidRDefault="0019334D" w:rsidP="00C913F9">
      <w:pPr>
        <w:rPr>
          <w:b/>
          <w:u w:val="single"/>
        </w:rPr>
      </w:pPr>
    </w:p>
    <w:p w:rsidR="00A07543" w:rsidRDefault="0019334D" w:rsidP="0019334D">
      <w:pPr>
        <w:jc w:val="center"/>
        <w:rPr>
          <w:b/>
          <w:u w:val="single"/>
        </w:rPr>
      </w:pPr>
      <w:r w:rsidRPr="00EA2FA0">
        <w:rPr>
          <w:b/>
          <w:noProof/>
        </w:rPr>
        <w:drawing>
          <wp:inline distT="0" distB="0" distL="0" distR="0">
            <wp:extent cx="4190337" cy="1645920"/>
            <wp:effectExtent l="0" t="0" r="1270" b="1143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42896" w:rsidRDefault="00B42896" w:rsidP="00C913F9">
      <w:pPr>
        <w:rPr>
          <w:b/>
          <w:u w:val="single"/>
        </w:rPr>
      </w:pPr>
    </w:p>
    <w:p w:rsidR="00EA2FA0" w:rsidRPr="00545DB2" w:rsidRDefault="00EA2FA0" w:rsidP="00545DB2">
      <w:pPr>
        <w:pStyle w:val="IntenseQuote"/>
        <w:shd w:val="clear" w:color="auto" w:fill="DBE5F1" w:themeFill="accent1" w:themeFillTint="33"/>
        <w:rPr>
          <w:b/>
          <w:i w:val="0"/>
          <w:color w:val="0F243E" w:themeColor="text2" w:themeShade="80"/>
          <w:sz w:val="24"/>
          <w:szCs w:val="24"/>
        </w:rPr>
      </w:pPr>
      <w:r w:rsidRPr="00545DB2">
        <w:rPr>
          <w:b/>
          <w:i w:val="0"/>
          <w:color w:val="0F243E" w:themeColor="text2" w:themeShade="80"/>
          <w:sz w:val="24"/>
          <w:szCs w:val="24"/>
        </w:rPr>
        <w:t>Graduation Outcomes</w:t>
      </w:r>
    </w:p>
    <w:p w:rsidR="002C4A0E" w:rsidRDefault="008D2B0B" w:rsidP="00C913F9">
      <w:r>
        <w:t>Graduation outcomes describe the full range of possible circumstances that a student in the 2012-16 cohort might possess after four years in high school. The possible outcomes are as follows:</w:t>
      </w:r>
    </w:p>
    <w:p w:rsidR="008D2B0B" w:rsidRDefault="008D2B0B" w:rsidP="00C913F9"/>
    <w:p w:rsidR="008D2B0B" w:rsidRDefault="008D2B0B" w:rsidP="008D2B0B">
      <w:pPr>
        <w:pStyle w:val="ListParagraph"/>
        <w:numPr>
          <w:ilvl w:val="0"/>
          <w:numId w:val="9"/>
        </w:numPr>
      </w:pPr>
      <w:r>
        <w:t>Graduated</w:t>
      </w:r>
    </w:p>
    <w:p w:rsidR="008D2B0B" w:rsidRDefault="008D2B0B" w:rsidP="008D2B0B">
      <w:pPr>
        <w:pStyle w:val="ListParagraph"/>
        <w:numPr>
          <w:ilvl w:val="0"/>
          <w:numId w:val="9"/>
        </w:numPr>
      </w:pPr>
      <w:r>
        <w:t>Continuing (still enrolled)</w:t>
      </w:r>
    </w:p>
    <w:p w:rsidR="008D2B0B" w:rsidRDefault="008D2B0B" w:rsidP="008D2B0B">
      <w:pPr>
        <w:pStyle w:val="ListParagraph"/>
        <w:numPr>
          <w:ilvl w:val="0"/>
          <w:numId w:val="9"/>
        </w:numPr>
      </w:pPr>
      <w:r>
        <w:t>Dropped out</w:t>
      </w:r>
    </w:p>
    <w:p w:rsidR="008D2B0B" w:rsidRDefault="008D2B0B" w:rsidP="008D2B0B">
      <w:pPr>
        <w:pStyle w:val="ListParagraph"/>
        <w:numPr>
          <w:ilvl w:val="0"/>
          <w:numId w:val="9"/>
        </w:numPr>
      </w:pPr>
      <w:r>
        <w:t>Non-drop departure (students that leave SDP, but do not drop out of school)</w:t>
      </w:r>
    </w:p>
    <w:p w:rsidR="008D2B0B" w:rsidRDefault="008D2B0B" w:rsidP="00C913F9"/>
    <w:p w:rsidR="008D2B0B" w:rsidRDefault="008D2B0B" w:rsidP="00C913F9">
      <w:r>
        <w:t>The graduation rate excludes non-drop departures. This is the standard statistic that is used to express the percentage of students that graduate within the four years of their first 9</w:t>
      </w:r>
      <w:r w:rsidRPr="008D2B0B">
        <w:rPr>
          <w:vertAlign w:val="superscript"/>
        </w:rPr>
        <w:t>th</w:t>
      </w:r>
      <w:r>
        <w:t xml:space="preserve"> grade year.</w:t>
      </w:r>
    </w:p>
    <w:p w:rsidR="00446807" w:rsidRDefault="00446807" w:rsidP="00C913F9"/>
    <w:p w:rsidR="00446807" w:rsidRPr="00446807" w:rsidRDefault="00446807" w:rsidP="00446807">
      <w:pPr>
        <w:ind w:left="720" w:hanging="720"/>
        <w:rPr>
          <w:b/>
        </w:rPr>
      </w:pPr>
      <w:r w:rsidRPr="00446807">
        <w:rPr>
          <w:b/>
        </w:rPr>
        <w:t>1.</w:t>
      </w:r>
      <w:r w:rsidRPr="00446807">
        <w:rPr>
          <w:b/>
        </w:rPr>
        <w:tab/>
        <w:t>CTE students had a higher graduation rate (70.1%) compared to non-CTE students (64.0%). In addition, students in CTE programs were less likely to drop</w:t>
      </w:r>
      <w:r>
        <w:rPr>
          <w:b/>
        </w:rPr>
        <w:t xml:space="preserve"> </w:t>
      </w:r>
      <w:r w:rsidRPr="00446807">
        <w:rPr>
          <w:b/>
        </w:rPr>
        <w:t xml:space="preserve">out of school (14.2%) compared to 17.4% of non-CTE students. </w:t>
      </w:r>
    </w:p>
    <w:p w:rsidR="008D2B0B" w:rsidRDefault="008D2B0B" w:rsidP="00C913F9"/>
    <w:p w:rsidR="00545DB2" w:rsidRDefault="00545DB2" w:rsidP="00446807">
      <w:pPr>
        <w:ind w:firstLine="720"/>
        <w:jc w:val="center"/>
      </w:pPr>
      <w:r>
        <w:rPr>
          <w:noProof/>
        </w:rPr>
        <w:drawing>
          <wp:inline distT="0" distB="0" distL="0" distR="0">
            <wp:extent cx="4428490" cy="1868556"/>
            <wp:effectExtent l="0" t="0" r="10160" b="1778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D2B0B" w:rsidRDefault="008D2B0B" w:rsidP="00C913F9"/>
    <w:p w:rsidR="0079506A" w:rsidRDefault="0079506A" w:rsidP="00223B4E">
      <w:pPr>
        <w:ind w:left="720" w:hanging="720"/>
        <w:rPr>
          <w:b/>
        </w:rPr>
      </w:pPr>
    </w:p>
    <w:p w:rsidR="008D2B0B" w:rsidRPr="00223B4E" w:rsidRDefault="00446807" w:rsidP="00223B4E">
      <w:pPr>
        <w:ind w:left="720" w:hanging="720"/>
        <w:rPr>
          <w:b/>
        </w:rPr>
      </w:pPr>
      <w:r w:rsidRPr="00223B4E">
        <w:rPr>
          <w:b/>
        </w:rPr>
        <w:t>2.</w:t>
      </w:r>
      <w:r w:rsidRPr="00223B4E">
        <w:rPr>
          <w:b/>
        </w:rPr>
        <w:tab/>
      </w:r>
      <w:r w:rsidR="00223B4E" w:rsidRPr="00223B4E">
        <w:rPr>
          <w:b/>
        </w:rPr>
        <w:t>CTE students had a higher graduation rate for students graduating in four years after starting school in 2012-13 school year (74.7%) than non-CTE students (69.9%). In addition, CTE students were less likely to drop out with four years (15.2%) compared to non-CTE students (19.0%).</w:t>
      </w:r>
    </w:p>
    <w:p w:rsidR="00446807" w:rsidRDefault="00446807" w:rsidP="00C913F9"/>
    <w:p w:rsidR="00446807" w:rsidRDefault="00446807" w:rsidP="00C913F9"/>
    <w:p w:rsidR="00446807" w:rsidRDefault="00446807" w:rsidP="00C913F9"/>
    <w:p w:rsidR="00446807" w:rsidRDefault="00446807" w:rsidP="00C913F9"/>
    <w:p w:rsidR="00446807" w:rsidRDefault="00446807" w:rsidP="00223B4E">
      <w:pPr>
        <w:jc w:val="center"/>
      </w:pPr>
      <w:r>
        <w:rPr>
          <w:noProof/>
        </w:rPr>
        <w:drawing>
          <wp:inline distT="0" distB="0" distL="0" distR="0">
            <wp:extent cx="4397071" cy="1860605"/>
            <wp:effectExtent l="0" t="0" r="3810" b="63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23B4E" w:rsidRDefault="00223B4E" w:rsidP="00223B4E"/>
    <w:p w:rsidR="002D2C57" w:rsidRPr="00545DB2" w:rsidRDefault="002D2C57" w:rsidP="002D2C57">
      <w:pPr>
        <w:pStyle w:val="IntenseQuote"/>
        <w:shd w:val="clear" w:color="auto" w:fill="DBE5F1" w:themeFill="accent1" w:themeFillTint="33"/>
        <w:rPr>
          <w:b/>
          <w:i w:val="0"/>
          <w:color w:val="0F243E" w:themeColor="text2" w:themeShade="80"/>
          <w:sz w:val="24"/>
          <w:szCs w:val="24"/>
        </w:rPr>
      </w:pPr>
      <w:r>
        <w:rPr>
          <w:b/>
          <w:i w:val="0"/>
          <w:color w:val="0F243E" w:themeColor="text2" w:themeShade="80"/>
          <w:sz w:val="24"/>
          <w:szCs w:val="24"/>
        </w:rPr>
        <w:t>Credit Accumulation</w:t>
      </w:r>
    </w:p>
    <w:p w:rsidR="002D2C57" w:rsidRDefault="002D2C57" w:rsidP="00223B4E">
      <w:r>
        <w:t>An analysis of the number of credits accumulated by CTE and non-CTE students for each subject (core and non-core) as well as, the overall total number of credits was conducted</w:t>
      </w:r>
      <w:r w:rsidR="004E53C4">
        <w:t xml:space="preserve">. Average number of credits was </w:t>
      </w:r>
      <w:r>
        <w:t>computed over four academic years (2012-13 to 2015-16). Only students who entered 9</w:t>
      </w:r>
      <w:r w:rsidRPr="002D2C57">
        <w:rPr>
          <w:vertAlign w:val="superscript"/>
        </w:rPr>
        <w:t>th</w:t>
      </w:r>
      <w:r>
        <w:t xml:space="preserve"> grade during the 2012-13 academic school year were included.</w:t>
      </w:r>
    </w:p>
    <w:p w:rsidR="002D2C57" w:rsidRDefault="002D2C57" w:rsidP="00223B4E"/>
    <w:p w:rsidR="005F63F6" w:rsidRPr="005F63F6" w:rsidRDefault="005F63F6" w:rsidP="005F63F6">
      <w:pPr>
        <w:ind w:left="720" w:hanging="720"/>
        <w:rPr>
          <w:b/>
        </w:rPr>
      </w:pPr>
      <w:r w:rsidRPr="005F63F6">
        <w:rPr>
          <w:b/>
        </w:rPr>
        <w:t>1.</w:t>
      </w:r>
      <w:r w:rsidRPr="005F63F6">
        <w:rPr>
          <w:b/>
        </w:rPr>
        <w:tab/>
        <w:t>Compared to non-CTE students, CTE students accumulated more credits per year during the four years in high school. Similarly, CTE students tended to collect slightly more core subject credits (Math, Science, English, Social Studies) compared to non-CTE students.</w:t>
      </w:r>
    </w:p>
    <w:p w:rsidR="005F63F6" w:rsidRDefault="005F63F6" w:rsidP="00223B4E"/>
    <w:p w:rsidR="004E53C4" w:rsidRDefault="004E53C4" w:rsidP="005F63F6">
      <w:pPr>
        <w:jc w:val="center"/>
      </w:pPr>
      <w:r>
        <w:rPr>
          <w:noProof/>
        </w:rPr>
        <w:drawing>
          <wp:inline distT="0" distB="0" distL="0" distR="0">
            <wp:extent cx="4373218" cy="1733384"/>
            <wp:effectExtent l="0" t="0" r="8890" b="63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F63F6" w:rsidRDefault="005F63F6" w:rsidP="005F63F6"/>
    <w:p w:rsidR="002476F9" w:rsidRDefault="002476F9" w:rsidP="002476F9">
      <w:pPr>
        <w:ind w:left="720" w:hanging="720"/>
      </w:pPr>
    </w:p>
    <w:p w:rsidR="002476F9" w:rsidRPr="002476F9" w:rsidRDefault="005F63F6" w:rsidP="002476F9">
      <w:pPr>
        <w:ind w:left="720" w:hanging="720"/>
        <w:rPr>
          <w:b/>
        </w:rPr>
      </w:pPr>
      <w:r w:rsidRPr="002476F9">
        <w:rPr>
          <w:b/>
        </w:rPr>
        <w:t>2.</w:t>
      </w:r>
      <w:r w:rsidRPr="002476F9">
        <w:rPr>
          <w:b/>
        </w:rPr>
        <w:tab/>
      </w:r>
      <w:r w:rsidR="002476F9" w:rsidRPr="002476F9">
        <w:rPr>
          <w:b/>
        </w:rPr>
        <w:t>For students in grade recovery (repeated 9</w:t>
      </w:r>
      <w:r w:rsidR="002476F9" w:rsidRPr="002476F9">
        <w:rPr>
          <w:b/>
          <w:vertAlign w:val="superscript"/>
        </w:rPr>
        <w:t>th</w:t>
      </w:r>
      <w:r w:rsidR="002476F9" w:rsidRPr="002476F9">
        <w:rPr>
          <w:b/>
        </w:rPr>
        <w:t xml:space="preserve"> grade), CTE students tended to acquire more overall credits compared to non-CTE students. The analysis proves that CTE can be an effective component of grade recovery. </w:t>
      </w:r>
    </w:p>
    <w:p w:rsidR="002476F9" w:rsidRDefault="002476F9" w:rsidP="002476F9">
      <w:pPr>
        <w:jc w:val="center"/>
      </w:pPr>
      <w:r>
        <w:rPr>
          <w:noProof/>
        </w:rPr>
        <w:drawing>
          <wp:inline distT="0" distB="0" distL="0" distR="0" wp14:anchorId="4627C853" wp14:editId="7F3CE566">
            <wp:extent cx="4373218" cy="1733384"/>
            <wp:effectExtent l="0" t="0" r="8890" b="6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476F9" w:rsidRDefault="002476F9" w:rsidP="002476F9">
      <w:pPr>
        <w:jc w:val="center"/>
      </w:pPr>
    </w:p>
    <w:p w:rsidR="002476F9" w:rsidRDefault="002476F9" w:rsidP="002476F9"/>
    <w:p w:rsidR="002476F9" w:rsidRPr="0079506A" w:rsidRDefault="0079506A" w:rsidP="0079506A">
      <w:pPr>
        <w:ind w:left="720" w:hanging="720"/>
        <w:rPr>
          <w:b/>
        </w:rPr>
      </w:pPr>
      <w:r w:rsidRPr="0079506A">
        <w:rPr>
          <w:b/>
        </w:rPr>
        <w:t>3.</w:t>
      </w:r>
      <w:r w:rsidRPr="0079506A">
        <w:rPr>
          <w:b/>
        </w:rPr>
        <w:tab/>
      </w:r>
      <w:r w:rsidR="002476F9" w:rsidRPr="0079506A">
        <w:rPr>
          <w:b/>
        </w:rPr>
        <w:t>SDP has specific graduation requirements in terms of the number of credits and courses needed in order to qualify. The District requirements are as follows:</w:t>
      </w:r>
    </w:p>
    <w:p w:rsidR="002476F9" w:rsidRDefault="002476F9" w:rsidP="002476F9"/>
    <w:p w:rsidR="003023FB" w:rsidRDefault="003023FB" w:rsidP="0079506A">
      <w:pPr>
        <w:pStyle w:val="ListParagraph"/>
        <w:numPr>
          <w:ilvl w:val="0"/>
          <w:numId w:val="10"/>
        </w:numPr>
      </w:pPr>
      <w:r>
        <w:t>English (4 credits)</w:t>
      </w:r>
    </w:p>
    <w:p w:rsidR="003023FB" w:rsidRDefault="003023FB" w:rsidP="0079506A">
      <w:pPr>
        <w:pStyle w:val="ListParagraph"/>
        <w:numPr>
          <w:ilvl w:val="0"/>
          <w:numId w:val="10"/>
        </w:numPr>
      </w:pPr>
      <w:r>
        <w:t>Math (3 credits)</w:t>
      </w:r>
    </w:p>
    <w:p w:rsidR="003023FB" w:rsidRDefault="003023FB" w:rsidP="0079506A">
      <w:pPr>
        <w:pStyle w:val="ListParagraph"/>
        <w:numPr>
          <w:ilvl w:val="0"/>
          <w:numId w:val="10"/>
        </w:numPr>
      </w:pPr>
      <w:r>
        <w:t>Science (3 credits)</w:t>
      </w:r>
    </w:p>
    <w:p w:rsidR="003023FB" w:rsidRDefault="003023FB" w:rsidP="0079506A">
      <w:pPr>
        <w:pStyle w:val="ListParagraph"/>
        <w:numPr>
          <w:ilvl w:val="0"/>
          <w:numId w:val="10"/>
        </w:numPr>
      </w:pPr>
      <w:r>
        <w:t>Social Studies (4 credits)</w:t>
      </w:r>
    </w:p>
    <w:p w:rsidR="003023FB" w:rsidRDefault="003023FB" w:rsidP="0079506A">
      <w:pPr>
        <w:pStyle w:val="ListParagraph"/>
        <w:numPr>
          <w:ilvl w:val="0"/>
          <w:numId w:val="10"/>
        </w:numPr>
      </w:pPr>
      <w:r>
        <w:t>World Language (2 credits)</w:t>
      </w:r>
    </w:p>
    <w:p w:rsidR="003023FB" w:rsidRDefault="003023FB" w:rsidP="0079506A">
      <w:pPr>
        <w:pStyle w:val="ListParagraph"/>
        <w:numPr>
          <w:ilvl w:val="0"/>
          <w:numId w:val="10"/>
        </w:numPr>
      </w:pPr>
      <w:r>
        <w:t>Arts and Humanities (2 credits)</w:t>
      </w:r>
    </w:p>
    <w:p w:rsidR="003023FB" w:rsidRDefault="003023FB" w:rsidP="0079506A">
      <w:pPr>
        <w:pStyle w:val="ListParagraph"/>
        <w:numPr>
          <w:ilvl w:val="0"/>
          <w:numId w:val="10"/>
        </w:numPr>
      </w:pPr>
      <w:r>
        <w:t>Physical Education (1 credit)</w:t>
      </w:r>
    </w:p>
    <w:p w:rsidR="003023FB" w:rsidRDefault="003023FB" w:rsidP="0079506A">
      <w:pPr>
        <w:pStyle w:val="ListParagraph"/>
        <w:numPr>
          <w:ilvl w:val="0"/>
          <w:numId w:val="10"/>
        </w:numPr>
      </w:pPr>
      <w:r>
        <w:t>Health (.5 credits)</w:t>
      </w:r>
    </w:p>
    <w:p w:rsidR="003023FB" w:rsidRDefault="003023FB" w:rsidP="002476F9"/>
    <w:p w:rsidR="003023FB" w:rsidRPr="0079506A" w:rsidRDefault="003023FB" w:rsidP="0079506A">
      <w:pPr>
        <w:ind w:left="360" w:firstLine="720"/>
        <w:rPr>
          <w:b/>
          <w:u w:val="single"/>
        </w:rPr>
      </w:pPr>
      <w:r w:rsidRPr="0079506A">
        <w:rPr>
          <w:b/>
          <w:u w:val="single"/>
        </w:rPr>
        <w:t>Total Credits</w:t>
      </w:r>
      <w:r w:rsidR="00F22D0D" w:rsidRPr="0079506A">
        <w:rPr>
          <w:b/>
          <w:u w:val="single"/>
        </w:rPr>
        <w:t xml:space="preserve"> – 23.5</w:t>
      </w:r>
    </w:p>
    <w:p w:rsidR="003023FB" w:rsidRDefault="003023FB" w:rsidP="002476F9"/>
    <w:p w:rsidR="003023FB" w:rsidRDefault="003023FB" w:rsidP="00E85683">
      <w:pPr>
        <w:ind w:left="720"/>
      </w:pPr>
      <w:r>
        <w:t xml:space="preserve">Nearly half of the students in the cohort did not satisfy all credit requirements. However, the analysis did show that CTE students </w:t>
      </w:r>
      <w:r w:rsidR="008F7401">
        <w:t xml:space="preserve">(18.0%) </w:t>
      </w:r>
      <w:r>
        <w:t>wer</w:t>
      </w:r>
      <w:r w:rsidR="00F22D0D">
        <w:t xml:space="preserve">e more likely to meet the total credit requirement of 23.5 credits than non-CTE students. In addition, CTE students were also more likely to satisfy </w:t>
      </w:r>
      <w:r w:rsidR="00E85683">
        <w:t xml:space="preserve">both </w:t>
      </w:r>
      <w:r w:rsidR="00F22D0D">
        <w:t xml:space="preserve">core </w:t>
      </w:r>
      <w:r w:rsidR="00E85683">
        <w:t xml:space="preserve">and raw </w:t>
      </w:r>
      <w:r w:rsidR="00F22D0D">
        <w:t>credit requirements.</w:t>
      </w:r>
    </w:p>
    <w:p w:rsidR="00F22D0D" w:rsidRDefault="00F22D0D" w:rsidP="002476F9"/>
    <w:p w:rsidR="00F22D0D" w:rsidRDefault="0079506A" w:rsidP="0079506A">
      <w:pPr>
        <w:jc w:val="center"/>
      </w:pPr>
      <w:r>
        <w:rPr>
          <w:noProof/>
        </w:rPr>
        <w:drawing>
          <wp:inline distT="0" distB="0" distL="0" distR="0" wp14:anchorId="1878827E" wp14:editId="6232DEE8">
            <wp:extent cx="4397071" cy="1860605"/>
            <wp:effectExtent l="0" t="0" r="3810" b="63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sectPr w:rsidR="00F22D0D" w:rsidSect="0079506A">
      <w:footerReference w:type="default" r:id="rId18"/>
      <w:pgSz w:w="12240" w:h="15840"/>
      <w:pgMar w:top="864" w:right="1440"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683" w:rsidRDefault="00E85683" w:rsidP="00E85683">
      <w:r>
        <w:separator/>
      </w:r>
    </w:p>
  </w:endnote>
  <w:endnote w:type="continuationSeparator" w:id="0">
    <w:p w:rsidR="00E85683" w:rsidRDefault="00E85683" w:rsidP="00E85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071215"/>
      <w:docPartObj>
        <w:docPartGallery w:val="Page Numbers (Bottom of Page)"/>
        <w:docPartUnique/>
      </w:docPartObj>
    </w:sdtPr>
    <w:sdtEndPr>
      <w:rPr>
        <w:color w:val="7F7F7F" w:themeColor="background1" w:themeShade="7F"/>
        <w:spacing w:val="60"/>
      </w:rPr>
    </w:sdtEndPr>
    <w:sdtContent>
      <w:p w:rsidR="00E85683" w:rsidRDefault="00E85683">
        <w:pPr>
          <w:pStyle w:val="Footer"/>
          <w:pBdr>
            <w:top w:val="single" w:sz="4" w:space="1" w:color="D9D9D9" w:themeColor="background1" w:themeShade="D9"/>
          </w:pBdr>
          <w:jc w:val="right"/>
        </w:pPr>
        <w:r>
          <w:fldChar w:fldCharType="begin"/>
        </w:r>
        <w:r>
          <w:instrText xml:space="preserve"> PAGE   \* MERGEFORMAT </w:instrText>
        </w:r>
        <w:r>
          <w:fldChar w:fldCharType="separate"/>
        </w:r>
        <w:r w:rsidR="005202BA">
          <w:rPr>
            <w:noProof/>
          </w:rPr>
          <w:t>5</w:t>
        </w:r>
        <w:r>
          <w:rPr>
            <w:noProof/>
          </w:rPr>
          <w:fldChar w:fldCharType="end"/>
        </w:r>
        <w:r>
          <w:t xml:space="preserve"> | </w:t>
        </w:r>
        <w:r>
          <w:rPr>
            <w:color w:val="7F7F7F" w:themeColor="background1" w:themeShade="7F"/>
            <w:spacing w:val="60"/>
          </w:rPr>
          <w:t>Page</w:t>
        </w:r>
      </w:p>
    </w:sdtContent>
  </w:sdt>
  <w:p w:rsidR="00E85683" w:rsidRDefault="00E85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683" w:rsidRDefault="00E85683" w:rsidP="00E85683">
      <w:r>
        <w:separator/>
      </w:r>
    </w:p>
  </w:footnote>
  <w:footnote w:type="continuationSeparator" w:id="0">
    <w:p w:rsidR="00E85683" w:rsidRDefault="00E85683" w:rsidP="00E856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73F62"/>
    <w:multiLevelType w:val="hybridMultilevel"/>
    <w:tmpl w:val="BF9C4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83BEB"/>
    <w:multiLevelType w:val="hybridMultilevel"/>
    <w:tmpl w:val="C9DECCEC"/>
    <w:lvl w:ilvl="0" w:tplc="04090005">
      <w:start w:val="1"/>
      <w:numFmt w:val="bullet"/>
      <w:lvlText w:val=""/>
      <w:lvlJc w:val="left"/>
      <w:pPr>
        <w:tabs>
          <w:tab w:val="num" w:pos="720"/>
        </w:tabs>
        <w:ind w:left="720" w:hanging="360"/>
      </w:pPr>
      <w:rPr>
        <w:rFonts w:ascii="Wingdings" w:hAnsi="Wingdings" w:hint="default"/>
      </w:rPr>
    </w:lvl>
    <w:lvl w:ilvl="1" w:tplc="7F2E7BF6">
      <w:numFmt w:val="bullet"/>
      <w:lvlText w:val="•"/>
      <w:lvlJc w:val="left"/>
      <w:pPr>
        <w:tabs>
          <w:tab w:val="num" w:pos="1440"/>
        </w:tabs>
        <w:ind w:left="1440" w:hanging="360"/>
      </w:pPr>
      <w:rPr>
        <w:rFonts w:ascii="Arial" w:hAnsi="Arial" w:hint="default"/>
      </w:rPr>
    </w:lvl>
    <w:lvl w:ilvl="2" w:tplc="3206A13A" w:tentative="1">
      <w:start w:val="1"/>
      <w:numFmt w:val="bullet"/>
      <w:lvlText w:val="•"/>
      <w:lvlJc w:val="left"/>
      <w:pPr>
        <w:tabs>
          <w:tab w:val="num" w:pos="2160"/>
        </w:tabs>
        <w:ind w:left="2160" w:hanging="360"/>
      </w:pPr>
      <w:rPr>
        <w:rFonts w:ascii="Arial" w:hAnsi="Arial" w:hint="default"/>
      </w:rPr>
    </w:lvl>
    <w:lvl w:ilvl="3" w:tplc="DD5CCAF2" w:tentative="1">
      <w:start w:val="1"/>
      <w:numFmt w:val="bullet"/>
      <w:lvlText w:val="•"/>
      <w:lvlJc w:val="left"/>
      <w:pPr>
        <w:tabs>
          <w:tab w:val="num" w:pos="2880"/>
        </w:tabs>
        <w:ind w:left="2880" w:hanging="360"/>
      </w:pPr>
      <w:rPr>
        <w:rFonts w:ascii="Arial" w:hAnsi="Arial" w:hint="default"/>
      </w:rPr>
    </w:lvl>
    <w:lvl w:ilvl="4" w:tplc="3EF2261C" w:tentative="1">
      <w:start w:val="1"/>
      <w:numFmt w:val="bullet"/>
      <w:lvlText w:val="•"/>
      <w:lvlJc w:val="left"/>
      <w:pPr>
        <w:tabs>
          <w:tab w:val="num" w:pos="3600"/>
        </w:tabs>
        <w:ind w:left="3600" w:hanging="360"/>
      </w:pPr>
      <w:rPr>
        <w:rFonts w:ascii="Arial" w:hAnsi="Arial" w:hint="default"/>
      </w:rPr>
    </w:lvl>
    <w:lvl w:ilvl="5" w:tplc="5AE2E992" w:tentative="1">
      <w:start w:val="1"/>
      <w:numFmt w:val="bullet"/>
      <w:lvlText w:val="•"/>
      <w:lvlJc w:val="left"/>
      <w:pPr>
        <w:tabs>
          <w:tab w:val="num" w:pos="4320"/>
        </w:tabs>
        <w:ind w:left="4320" w:hanging="360"/>
      </w:pPr>
      <w:rPr>
        <w:rFonts w:ascii="Arial" w:hAnsi="Arial" w:hint="default"/>
      </w:rPr>
    </w:lvl>
    <w:lvl w:ilvl="6" w:tplc="334A0BBC" w:tentative="1">
      <w:start w:val="1"/>
      <w:numFmt w:val="bullet"/>
      <w:lvlText w:val="•"/>
      <w:lvlJc w:val="left"/>
      <w:pPr>
        <w:tabs>
          <w:tab w:val="num" w:pos="5040"/>
        </w:tabs>
        <w:ind w:left="5040" w:hanging="360"/>
      </w:pPr>
      <w:rPr>
        <w:rFonts w:ascii="Arial" w:hAnsi="Arial" w:hint="default"/>
      </w:rPr>
    </w:lvl>
    <w:lvl w:ilvl="7" w:tplc="97700F14" w:tentative="1">
      <w:start w:val="1"/>
      <w:numFmt w:val="bullet"/>
      <w:lvlText w:val="•"/>
      <w:lvlJc w:val="left"/>
      <w:pPr>
        <w:tabs>
          <w:tab w:val="num" w:pos="5760"/>
        </w:tabs>
        <w:ind w:left="5760" w:hanging="360"/>
      </w:pPr>
      <w:rPr>
        <w:rFonts w:ascii="Arial" w:hAnsi="Arial" w:hint="default"/>
      </w:rPr>
    </w:lvl>
    <w:lvl w:ilvl="8" w:tplc="C1A4228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AE2D79"/>
    <w:multiLevelType w:val="hybridMultilevel"/>
    <w:tmpl w:val="59A8043E"/>
    <w:lvl w:ilvl="0" w:tplc="389ABA00">
      <w:start w:val="1"/>
      <w:numFmt w:val="decimal"/>
      <w:lvlText w:val="%1."/>
      <w:lvlJc w:val="left"/>
      <w:pPr>
        <w:tabs>
          <w:tab w:val="num" w:pos="720"/>
        </w:tabs>
        <w:ind w:left="720" w:hanging="360"/>
      </w:pPr>
    </w:lvl>
    <w:lvl w:ilvl="1" w:tplc="234C6D72" w:tentative="1">
      <w:start w:val="1"/>
      <w:numFmt w:val="decimal"/>
      <w:lvlText w:val="%2."/>
      <w:lvlJc w:val="left"/>
      <w:pPr>
        <w:tabs>
          <w:tab w:val="num" w:pos="1440"/>
        </w:tabs>
        <w:ind w:left="1440" w:hanging="360"/>
      </w:pPr>
    </w:lvl>
    <w:lvl w:ilvl="2" w:tplc="21BED460">
      <w:numFmt w:val="bullet"/>
      <w:lvlText w:val="•"/>
      <w:lvlJc w:val="left"/>
      <w:pPr>
        <w:tabs>
          <w:tab w:val="num" w:pos="2160"/>
        </w:tabs>
        <w:ind w:left="2160" w:hanging="360"/>
      </w:pPr>
      <w:rPr>
        <w:rFonts w:ascii="Arial" w:hAnsi="Arial" w:hint="default"/>
      </w:rPr>
    </w:lvl>
    <w:lvl w:ilvl="3" w:tplc="F992FB86" w:tentative="1">
      <w:start w:val="1"/>
      <w:numFmt w:val="decimal"/>
      <w:lvlText w:val="%4."/>
      <w:lvlJc w:val="left"/>
      <w:pPr>
        <w:tabs>
          <w:tab w:val="num" w:pos="2880"/>
        </w:tabs>
        <w:ind w:left="2880" w:hanging="360"/>
      </w:pPr>
    </w:lvl>
    <w:lvl w:ilvl="4" w:tplc="EBC0D088" w:tentative="1">
      <w:start w:val="1"/>
      <w:numFmt w:val="decimal"/>
      <w:lvlText w:val="%5."/>
      <w:lvlJc w:val="left"/>
      <w:pPr>
        <w:tabs>
          <w:tab w:val="num" w:pos="3600"/>
        </w:tabs>
        <w:ind w:left="3600" w:hanging="360"/>
      </w:pPr>
    </w:lvl>
    <w:lvl w:ilvl="5" w:tplc="A5CAC13E" w:tentative="1">
      <w:start w:val="1"/>
      <w:numFmt w:val="decimal"/>
      <w:lvlText w:val="%6."/>
      <w:lvlJc w:val="left"/>
      <w:pPr>
        <w:tabs>
          <w:tab w:val="num" w:pos="4320"/>
        </w:tabs>
        <w:ind w:left="4320" w:hanging="360"/>
      </w:pPr>
    </w:lvl>
    <w:lvl w:ilvl="6" w:tplc="FB0C9630" w:tentative="1">
      <w:start w:val="1"/>
      <w:numFmt w:val="decimal"/>
      <w:lvlText w:val="%7."/>
      <w:lvlJc w:val="left"/>
      <w:pPr>
        <w:tabs>
          <w:tab w:val="num" w:pos="5040"/>
        </w:tabs>
        <w:ind w:left="5040" w:hanging="360"/>
      </w:pPr>
    </w:lvl>
    <w:lvl w:ilvl="7" w:tplc="3D60D57A" w:tentative="1">
      <w:start w:val="1"/>
      <w:numFmt w:val="decimal"/>
      <w:lvlText w:val="%8."/>
      <w:lvlJc w:val="left"/>
      <w:pPr>
        <w:tabs>
          <w:tab w:val="num" w:pos="5760"/>
        </w:tabs>
        <w:ind w:left="5760" w:hanging="360"/>
      </w:pPr>
    </w:lvl>
    <w:lvl w:ilvl="8" w:tplc="6A2EEBFC" w:tentative="1">
      <w:start w:val="1"/>
      <w:numFmt w:val="decimal"/>
      <w:lvlText w:val="%9."/>
      <w:lvlJc w:val="left"/>
      <w:pPr>
        <w:tabs>
          <w:tab w:val="num" w:pos="6480"/>
        </w:tabs>
        <w:ind w:left="6480" w:hanging="360"/>
      </w:pPr>
    </w:lvl>
  </w:abstractNum>
  <w:abstractNum w:abstractNumId="3" w15:restartNumberingAfterBreak="0">
    <w:nsid w:val="2D815935"/>
    <w:multiLevelType w:val="hybridMultilevel"/>
    <w:tmpl w:val="0D221F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EF672B0"/>
    <w:multiLevelType w:val="hybridMultilevel"/>
    <w:tmpl w:val="36167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2533C8"/>
    <w:multiLevelType w:val="hybridMultilevel"/>
    <w:tmpl w:val="F1DAC718"/>
    <w:lvl w:ilvl="0" w:tplc="5CDA82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BF52C6"/>
    <w:multiLevelType w:val="hybridMultilevel"/>
    <w:tmpl w:val="5B96FCC4"/>
    <w:lvl w:ilvl="0" w:tplc="04090005">
      <w:start w:val="1"/>
      <w:numFmt w:val="bullet"/>
      <w:lvlText w:val=""/>
      <w:lvlJc w:val="left"/>
      <w:pPr>
        <w:tabs>
          <w:tab w:val="num" w:pos="720"/>
        </w:tabs>
        <w:ind w:left="720" w:hanging="360"/>
      </w:pPr>
      <w:rPr>
        <w:rFonts w:ascii="Wingdings" w:hAnsi="Wingdings" w:hint="default"/>
      </w:rPr>
    </w:lvl>
    <w:lvl w:ilvl="1" w:tplc="F5F2E842" w:tentative="1">
      <w:start w:val="1"/>
      <w:numFmt w:val="bullet"/>
      <w:lvlText w:val="•"/>
      <w:lvlJc w:val="left"/>
      <w:pPr>
        <w:tabs>
          <w:tab w:val="num" w:pos="1440"/>
        </w:tabs>
        <w:ind w:left="1440" w:hanging="360"/>
      </w:pPr>
      <w:rPr>
        <w:rFonts w:ascii="Arial" w:hAnsi="Arial" w:hint="default"/>
      </w:rPr>
    </w:lvl>
    <w:lvl w:ilvl="2" w:tplc="A7CCD900" w:tentative="1">
      <w:start w:val="1"/>
      <w:numFmt w:val="bullet"/>
      <w:lvlText w:val="•"/>
      <w:lvlJc w:val="left"/>
      <w:pPr>
        <w:tabs>
          <w:tab w:val="num" w:pos="2160"/>
        </w:tabs>
        <w:ind w:left="2160" w:hanging="360"/>
      </w:pPr>
      <w:rPr>
        <w:rFonts w:ascii="Arial" w:hAnsi="Arial" w:hint="default"/>
      </w:rPr>
    </w:lvl>
    <w:lvl w:ilvl="3" w:tplc="8152CCEC" w:tentative="1">
      <w:start w:val="1"/>
      <w:numFmt w:val="bullet"/>
      <w:lvlText w:val="•"/>
      <w:lvlJc w:val="left"/>
      <w:pPr>
        <w:tabs>
          <w:tab w:val="num" w:pos="2880"/>
        </w:tabs>
        <w:ind w:left="2880" w:hanging="360"/>
      </w:pPr>
      <w:rPr>
        <w:rFonts w:ascii="Arial" w:hAnsi="Arial" w:hint="default"/>
      </w:rPr>
    </w:lvl>
    <w:lvl w:ilvl="4" w:tplc="1F9E3F76" w:tentative="1">
      <w:start w:val="1"/>
      <w:numFmt w:val="bullet"/>
      <w:lvlText w:val="•"/>
      <w:lvlJc w:val="left"/>
      <w:pPr>
        <w:tabs>
          <w:tab w:val="num" w:pos="3600"/>
        </w:tabs>
        <w:ind w:left="3600" w:hanging="360"/>
      </w:pPr>
      <w:rPr>
        <w:rFonts w:ascii="Arial" w:hAnsi="Arial" w:hint="default"/>
      </w:rPr>
    </w:lvl>
    <w:lvl w:ilvl="5" w:tplc="1F102004" w:tentative="1">
      <w:start w:val="1"/>
      <w:numFmt w:val="bullet"/>
      <w:lvlText w:val="•"/>
      <w:lvlJc w:val="left"/>
      <w:pPr>
        <w:tabs>
          <w:tab w:val="num" w:pos="4320"/>
        </w:tabs>
        <w:ind w:left="4320" w:hanging="360"/>
      </w:pPr>
      <w:rPr>
        <w:rFonts w:ascii="Arial" w:hAnsi="Arial" w:hint="default"/>
      </w:rPr>
    </w:lvl>
    <w:lvl w:ilvl="6" w:tplc="79566864" w:tentative="1">
      <w:start w:val="1"/>
      <w:numFmt w:val="bullet"/>
      <w:lvlText w:val="•"/>
      <w:lvlJc w:val="left"/>
      <w:pPr>
        <w:tabs>
          <w:tab w:val="num" w:pos="5040"/>
        </w:tabs>
        <w:ind w:left="5040" w:hanging="360"/>
      </w:pPr>
      <w:rPr>
        <w:rFonts w:ascii="Arial" w:hAnsi="Arial" w:hint="default"/>
      </w:rPr>
    </w:lvl>
    <w:lvl w:ilvl="7" w:tplc="35322C6A" w:tentative="1">
      <w:start w:val="1"/>
      <w:numFmt w:val="bullet"/>
      <w:lvlText w:val="•"/>
      <w:lvlJc w:val="left"/>
      <w:pPr>
        <w:tabs>
          <w:tab w:val="num" w:pos="5760"/>
        </w:tabs>
        <w:ind w:left="5760" w:hanging="360"/>
      </w:pPr>
      <w:rPr>
        <w:rFonts w:ascii="Arial" w:hAnsi="Arial" w:hint="default"/>
      </w:rPr>
    </w:lvl>
    <w:lvl w:ilvl="8" w:tplc="2C6EC3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7697E88"/>
    <w:multiLevelType w:val="hybridMultilevel"/>
    <w:tmpl w:val="F37A1DCC"/>
    <w:lvl w:ilvl="0" w:tplc="87FC71BA">
      <w:start w:val="1"/>
      <w:numFmt w:val="bullet"/>
      <w:lvlText w:val="•"/>
      <w:lvlJc w:val="left"/>
      <w:pPr>
        <w:tabs>
          <w:tab w:val="num" w:pos="720"/>
        </w:tabs>
        <w:ind w:left="720" w:hanging="360"/>
      </w:pPr>
      <w:rPr>
        <w:rFonts w:ascii="Arial" w:hAnsi="Arial" w:hint="default"/>
      </w:rPr>
    </w:lvl>
    <w:lvl w:ilvl="1" w:tplc="7F2E7BF6">
      <w:numFmt w:val="bullet"/>
      <w:lvlText w:val="•"/>
      <w:lvlJc w:val="left"/>
      <w:pPr>
        <w:tabs>
          <w:tab w:val="num" w:pos="1440"/>
        </w:tabs>
        <w:ind w:left="1440" w:hanging="360"/>
      </w:pPr>
      <w:rPr>
        <w:rFonts w:ascii="Arial" w:hAnsi="Arial" w:hint="default"/>
      </w:rPr>
    </w:lvl>
    <w:lvl w:ilvl="2" w:tplc="3206A13A" w:tentative="1">
      <w:start w:val="1"/>
      <w:numFmt w:val="bullet"/>
      <w:lvlText w:val="•"/>
      <w:lvlJc w:val="left"/>
      <w:pPr>
        <w:tabs>
          <w:tab w:val="num" w:pos="2160"/>
        </w:tabs>
        <w:ind w:left="2160" w:hanging="360"/>
      </w:pPr>
      <w:rPr>
        <w:rFonts w:ascii="Arial" w:hAnsi="Arial" w:hint="default"/>
      </w:rPr>
    </w:lvl>
    <w:lvl w:ilvl="3" w:tplc="DD5CCAF2" w:tentative="1">
      <w:start w:val="1"/>
      <w:numFmt w:val="bullet"/>
      <w:lvlText w:val="•"/>
      <w:lvlJc w:val="left"/>
      <w:pPr>
        <w:tabs>
          <w:tab w:val="num" w:pos="2880"/>
        </w:tabs>
        <w:ind w:left="2880" w:hanging="360"/>
      </w:pPr>
      <w:rPr>
        <w:rFonts w:ascii="Arial" w:hAnsi="Arial" w:hint="default"/>
      </w:rPr>
    </w:lvl>
    <w:lvl w:ilvl="4" w:tplc="3EF2261C" w:tentative="1">
      <w:start w:val="1"/>
      <w:numFmt w:val="bullet"/>
      <w:lvlText w:val="•"/>
      <w:lvlJc w:val="left"/>
      <w:pPr>
        <w:tabs>
          <w:tab w:val="num" w:pos="3600"/>
        </w:tabs>
        <w:ind w:left="3600" w:hanging="360"/>
      </w:pPr>
      <w:rPr>
        <w:rFonts w:ascii="Arial" w:hAnsi="Arial" w:hint="default"/>
      </w:rPr>
    </w:lvl>
    <w:lvl w:ilvl="5" w:tplc="5AE2E992" w:tentative="1">
      <w:start w:val="1"/>
      <w:numFmt w:val="bullet"/>
      <w:lvlText w:val="•"/>
      <w:lvlJc w:val="left"/>
      <w:pPr>
        <w:tabs>
          <w:tab w:val="num" w:pos="4320"/>
        </w:tabs>
        <w:ind w:left="4320" w:hanging="360"/>
      </w:pPr>
      <w:rPr>
        <w:rFonts w:ascii="Arial" w:hAnsi="Arial" w:hint="default"/>
      </w:rPr>
    </w:lvl>
    <w:lvl w:ilvl="6" w:tplc="334A0BBC" w:tentative="1">
      <w:start w:val="1"/>
      <w:numFmt w:val="bullet"/>
      <w:lvlText w:val="•"/>
      <w:lvlJc w:val="left"/>
      <w:pPr>
        <w:tabs>
          <w:tab w:val="num" w:pos="5040"/>
        </w:tabs>
        <w:ind w:left="5040" w:hanging="360"/>
      </w:pPr>
      <w:rPr>
        <w:rFonts w:ascii="Arial" w:hAnsi="Arial" w:hint="default"/>
      </w:rPr>
    </w:lvl>
    <w:lvl w:ilvl="7" w:tplc="97700F14" w:tentative="1">
      <w:start w:val="1"/>
      <w:numFmt w:val="bullet"/>
      <w:lvlText w:val="•"/>
      <w:lvlJc w:val="left"/>
      <w:pPr>
        <w:tabs>
          <w:tab w:val="num" w:pos="5760"/>
        </w:tabs>
        <w:ind w:left="5760" w:hanging="360"/>
      </w:pPr>
      <w:rPr>
        <w:rFonts w:ascii="Arial" w:hAnsi="Arial" w:hint="default"/>
      </w:rPr>
    </w:lvl>
    <w:lvl w:ilvl="8" w:tplc="C1A422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4D84C0C"/>
    <w:multiLevelType w:val="hybridMultilevel"/>
    <w:tmpl w:val="4B767964"/>
    <w:lvl w:ilvl="0" w:tplc="552E2FAA">
      <w:start w:val="1"/>
      <w:numFmt w:val="bullet"/>
      <w:lvlText w:val="•"/>
      <w:lvlJc w:val="left"/>
      <w:pPr>
        <w:tabs>
          <w:tab w:val="num" w:pos="720"/>
        </w:tabs>
        <w:ind w:left="720" w:hanging="360"/>
      </w:pPr>
      <w:rPr>
        <w:rFonts w:ascii="Arial" w:hAnsi="Arial" w:hint="default"/>
      </w:rPr>
    </w:lvl>
    <w:lvl w:ilvl="1" w:tplc="D7661482" w:tentative="1">
      <w:start w:val="1"/>
      <w:numFmt w:val="bullet"/>
      <w:lvlText w:val="•"/>
      <w:lvlJc w:val="left"/>
      <w:pPr>
        <w:tabs>
          <w:tab w:val="num" w:pos="1440"/>
        </w:tabs>
        <w:ind w:left="1440" w:hanging="360"/>
      </w:pPr>
      <w:rPr>
        <w:rFonts w:ascii="Arial" w:hAnsi="Arial" w:hint="default"/>
      </w:rPr>
    </w:lvl>
    <w:lvl w:ilvl="2" w:tplc="061EE6AE" w:tentative="1">
      <w:start w:val="1"/>
      <w:numFmt w:val="bullet"/>
      <w:lvlText w:val="•"/>
      <w:lvlJc w:val="left"/>
      <w:pPr>
        <w:tabs>
          <w:tab w:val="num" w:pos="2160"/>
        </w:tabs>
        <w:ind w:left="2160" w:hanging="360"/>
      </w:pPr>
      <w:rPr>
        <w:rFonts w:ascii="Arial" w:hAnsi="Arial" w:hint="default"/>
      </w:rPr>
    </w:lvl>
    <w:lvl w:ilvl="3" w:tplc="66786BB4" w:tentative="1">
      <w:start w:val="1"/>
      <w:numFmt w:val="bullet"/>
      <w:lvlText w:val="•"/>
      <w:lvlJc w:val="left"/>
      <w:pPr>
        <w:tabs>
          <w:tab w:val="num" w:pos="2880"/>
        </w:tabs>
        <w:ind w:left="2880" w:hanging="360"/>
      </w:pPr>
      <w:rPr>
        <w:rFonts w:ascii="Arial" w:hAnsi="Arial" w:hint="default"/>
      </w:rPr>
    </w:lvl>
    <w:lvl w:ilvl="4" w:tplc="4DBE00FE" w:tentative="1">
      <w:start w:val="1"/>
      <w:numFmt w:val="bullet"/>
      <w:lvlText w:val="•"/>
      <w:lvlJc w:val="left"/>
      <w:pPr>
        <w:tabs>
          <w:tab w:val="num" w:pos="3600"/>
        </w:tabs>
        <w:ind w:left="3600" w:hanging="360"/>
      </w:pPr>
      <w:rPr>
        <w:rFonts w:ascii="Arial" w:hAnsi="Arial" w:hint="default"/>
      </w:rPr>
    </w:lvl>
    <w:lvl w:ilvl="5" w:tplc="4C908ED6" w:tentative="1">
      <w:start w:val="1"/>
      <w:numFmt w:val="bullet"/>
      <w:lvlText w:val="•"/>
      <w:lvlJc w:val="left"/>
      <w:pPr>
        <w:tabs>
          <w:tab w:val="num" w:pos="4320"/>
        </w:tabs>
        <w:ind w:left="4320" w:hanging="360"/>
      </w:pPr>
      <w:rPr>
        <w:rFonts w:ascii="Arial" w:hAnsi="Arial" w:hint="default"/>
      </w:rPr>
    </w:lvl>
    <w:lvl w:ilvl="6" w:tplc="0B201AC2" w:tentative="1">
      <w:start w:val="1"/>
      <w:numFmt w:val="bullet"/>
      <w:lvlText w:val="•"/>
      <w:lvlJc w:val="left"/>
      <w:pPr>
        <w:tabs>
          <w:tab w:val="num" w:pos="5040"/>
        </w:tabs>
        <w:ind w:left="5040" w:hanging="360"/>
      </w:pPr>
      <w:rPr>
        <w:rFonts w:ascii="Arial" w:hAnsi="Arial" w:hint="default"/>
      </w:rPr>
    </w:lvl>
    <w:lvl w:ilvl="7" w:tplc="0EA4E5D8" w:tentative="1">
      <w:start w:val="1"/>
      <w:numFmt w:val="bullet"/>
      <w:lvlText w:val="•"/>
      <w:lvlJc w:val="left"/>
      <w:pPr>
        <w:tabs>
          <w:tab w:val="num" w:pos="5760"/>
        </w:tabs>
        <w:ind w:left="5760" w:hanging="360"/>
      </w:pPr>
      <w:rPr>
        <w:rFonts w:ascii="Arial" w:hAnsi="Arial" w:hint="default"/>
      </w:rPr>
    </w:lvl>
    <w:lvl w:ilvl="8" w:tplc="26946B0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D2C4CC5"/>
    <w:multiLevelType w:val="hybridMultilevel"/>
    <w:tmpl w:val="E2A8C7DA"/>
    <w:lvl w:ilvl="0" w:tplc="80C6954C">
      <w:start w:val="1"/>
      <w:numFmt w:val="bullet"/>
      <w:lvlText w:val="•"/>
      <w:lvlJc w:val="left"/>
      <w:pPr>
        <w:tabs>
          <w:tab w:val="num" w:pos="720"/>
        </w:tabs>
        <w:ind w:left="720" w:hanging="360"/>
      </w:pPr>
      <w:rPr>
        <w:rFonts w:ascii="Arial" w:hAnsi="Arial" w:hint="default"/>
      </w:rPr>
    </w:lvl>
    <w:lvl w:ilvl="1" w:tplc="F5F2E842" w:tentative="1">
      <w:start w:val="1"/>
      <w:numFmt w:val="bullet"/>
      <w:lvlText w:val="•"/>
      <w:lvlJc w:val="left"/>
      <w:pPr>
        <w:tabs>
          <w:tab w:val="num" w:pos="1440"/>
        </w:tabs>
        <w:ind w:left="1440" w:hanging="360"/>
      </w:pPr>
      <w:rPr>
        <w:rFonts w:ascii="Arial" w:hAnsi="Arial" w:hint="default"/>
      </w:rPr>
    </w:lvl>
    <w:lvl w:ilvl="2" w:tplc="A7CCD900" w:tentative="1">
      <w:start w:val="1"/>
      <w:numFmt w:val="bullet"/>
      <w:lvlText w:val="•"/>
      <w:lvlJc w:val="left"/>
      <w:pPr>
        <w:tabs>
          <w:tab w:val="num" w:pos="2160"/>
        </w:tabs>
        <w:ind w:left="2160" w:hanging="360"/>
      </w:pPr>
      <w:rPr>
        <w:rFonts w:ascii="Arial" w:hAnsi="Arial" w:hint="default"/>
      </w:rPr>
    </w:lvl>
    <w:lvl w:ilvl="3" w:tplc="8152CCEC" w:tentative="1">
      <w:start w:val="1"/>
      <w:numFmt w:val="bullet"/>
      <w:lvlText w:val="•"/>
      <w:lvlJc w:val="left"/>
      <w:pPr>
        <w:tabs>
          <w:tab w:val="num" w:pos="2880"/>
        </w:tabs>
        <w:ind w:left="2880" w:hanging="360"/>
      </w:pPr>
      <w:rPr>
        <w:rFonts w:ascii="Arial" w:hAnsi="Arial" w:hint="default"/>
      </w:rPr>
    </w:lvl>
    <w:lvl w:ilvl="4" w:tplc="1F9E3F76" w:tentative="1">
      <w:start w:val="1"/>
      <w:numFmt w:val="bullet"/>
      <w:lvlText w:val="•"/>
      <w:lvlJc w:val="left"/>
      <w:pPr>
        <w:tabs>
          <w:tab w:val="num" w:pos="3600"/>
        </w:tabs>
        <w:ind w:left="3600" w:hanging="360"/>
      </w:pPr>
      <w:rPr>
        <w:rFonts w:ascii="Arial" w:hAnsi="Arial" w:hint="default"/>
      </w:rPr>
    </w:lvl>
    <w:lvl w:ilvl="5" w:tplc="1F102004" w:tentative="1">
      <w:start w:val="1"/>
      <w:numFmt w:val="bullet"/>
      <w:lvlText w:val="•"/>
      <w:lvlJc w:val="left"/>
      <w:pPr>
        <w:tabs>
          <w:tab w:val="num" w:pos="4320"/>
        </w:tabs>
        <w:ind w:left="4320" w:hanging="360"/>
      </w:pPr>
      <w:rPr>
        <w:rFonts w:ascii="Arial" w:hAnsi="Arial" w:hint="default"/>
      </w:rPr>
    </w:lvl>
    <w:lvl w:ilvl="6" w:tplc="79566864" w:tentative="1">
      <w:start w:val="1"/>
      <w:numFmt w:val="bullet"/>
      <w:lvlText w:val="•"/>
      <w:lvlJc w:val="left"/>
      <w:pPr>
        <w:tabs>
          <w:tab w:val="num" w:pos="5040"/>
        </w:tabs>
        <w:ind w:left="5040" w:hanging="360"/>
      </w:pPr>
      <w:rPr>
        <w:rFonts w:ascii="Arial" w:hAnsi="Arial" w:hint="default"/>
      </w:rPr>
    </w:lvl>
    <w:lvl w:ilvl="7" w:tplc="35322C6A" w:tentative="1">
      <w:start w:val="1"/>
      <w:numFmt w:val="bullet"/>
      <w:lvlText w:val="•"/>
      <w:lvlJc w:val="left"/>
      <w:pPr>
        <w:tabs>
          <w:tab w:val="num" w:pos="5760"/>
        </w:tabs>
        <w:ind w:left="5760" w:hanging="360"/>
      </w:pPr>
      <w:rPr>
        <w:rFonts w:ascii="Arial" w:hAnsi="Arial" w:hint="default"/>
      </w:rPr>
    </w:lvl>
    <w:lvl w:ilvl="8" w:tplc="2C6EC33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5"/>
  </w:num>
  <w:num w:numId="3">
    <w:abstractNumId w:val="7"/>
  </w:num>
  <w:num w:numId="4">
    <w:abstractNumId w:val="8"/>
  </w:num>
  <w:num w:numId="5">
    <w:abstractNumId w:val="4"/>
  </w:num>
  <w:num w:numId="6">
    <w:abstractNumId w:val="1"/>
  </w:num>
  <w:num w:numId="7">
    <w:abstractNumId w:val="9"/>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3F9"/>
    <w:rsid w:val="00083800"/>
    <w:rsid w:val="00171383"/>
    <w:rsid w:val="0019334D"/>
    <w:rsid w:val="00223B4E"/>
    <w:rsid w:val="002476F9"/>
    <w:rsid w:val="002C4A0E"/>
    <w:rsid w:val="002D2C57"/>
    <w:rsid w:val="003023FB"/>
    <w:rsid w:val="0037058C"/>
    <w:rsid w:val="00404B4E"/>
    <w:rsid w:val="00446807"/>
    <w:rsid w:val="004B2DB5"/>
    <w:rsid w:val="004E53C4"/>
    <w:rsid w:val="005202BA"/>
    <w:rsid w:val="00545DB2"/>
    <w:rsid w:val="005D28E5"/>
    <w:rsid w:val="005F63F6"/>
    <w:rsid w:val="006B4D82"/>
    <w:rsid w:val="006D7A14"/>
    <w:rsid w:val="00721942"/>
    <w:rsid w:val="007221B0"/>
    <w:rsid w:val="0079506A"/>
    <w:rsid w:val="008D2B0B"/>
    <w:rsid w:val="008F7401"/>
    <w:rsid w:val="00934CC4"/>
    <w:rsid w:val="00A07543"/>
    <w:rsid w:val="00B42896"/>
    <w:rsid w:val="00BC10C7"/>
    <w:rsid w:val="00C16EBA"/>
    <w:rsid w:val="00C913F9"/>
    <w:rsid w:val="00E71891"/>
    <w:rsid w:val="00E85683"/>
    <w:rsid w:val="00EA2FA0"/>
    <w:rsid w:val="00F2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92DD3-CEA3-44A5-A5A9-E98712A4E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3F9"/>
    <w:pPr>
      <w:ind w:left="720"/>
      <w:contextualSpacing/>
    </w:pPr>
  </w:style>
  <w:style w:type="table" w:styleId="TableGrid">
    <w:name w:val="Table Grid"/>
    <w:basedOn w:val="TableNormal"/>
    <w:uiPriority w:val="59"/>
    <w:rsid w:val="00722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EA2F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A2FA0"/>
    <w:rPr>
      <w:i/>
      <w:iCs/>
      <w:color w:val="4F81BD" w:themeColor="accent1"/>
    </w:rPr>
  </w:style>
  <w:style w:type="paragraph" w:styleId="Header">
    <w:name w:val="header"/>
    <w:basedOn w:val="Normal"/>
    <w:link w:val="HeaderChar"/>
    <w:uiPriority w:val="99"/>
    <w:unhideWhenUsed/>
    <w:rsid w:val="00E85683"/>
    <w:pPr>
      <w:tabs>
        <w:tab w:val="center" w:pos="4680"/>
        <w:tab w:val="right" w:pos="9360"/>
      </w:tabs>
    </w:pPr>
  </w:style>
  <w:style w:type="character" w:customStyle="1" w:styleId="HeaderChar">
    <w:name w:val="Header Char"/>
    <w:basedOn w:val="DefaultParagraphFont"/>
    <w:link w:val="Header"/>
    <w:uiPriority w:val="99"/>
    <w:rsid w:val="00E85683"/>
  </w:style>
  <w:style w:type="paragraph" w:styleId="Footer">
    <w:name w:val="footer"/>
    <w:basedOn w:val="Normal"/>
    <w:link w:val="FooterChar"/>
    <w:uiPriority w:val="99"/>
    <w:unhideWhenUsed/>
    <w:rsid w:val="00E85683"/>
    <w:pPr>
      <w:tabs>
        <w:tab w:val="center" w:pos="4680"/>
        <w:tab w:val="right" w:pos="9360"/>
      </w:tabs>
    </w:pPr>
  </w:style>
  <w:style w:type="character" w:customStyle="1" w:styleId="FooterChar">
    <w:name w:val="Footer Char"/>
    <w:basedOn w:val="DefaultParagraphFont"/>
    <w:link w:val="Footer"/>
    <w:uiPriority w:val="99"/>
    <w:rsid w:val="00E85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83544">
      <w:bodyDiv w:val="1"/>
      <w:marLeft w:val="0"/>
      <w:marRight w:val="0"/>
      <w:marTop w:val="0"/>
      <w:marBottom w:val="0"/>
      <w:divBdr>
        <w:top w:val="none" w:sz="0" w:space="0" w:color="auto"/>
        <w:left w:val="none" w:sz="0" w:space="0" w:color="auto"/>
        <w:bottom w:val="none" w:sz="0" w:space="0" w:color="auto"/>
        <w:right w:val="none" w:sz="0" w:space="0" w:color="auto"/>
      </w:divBdr>
      <w:divsChild>
        <w:div w:id="786856398">
          <w:marLeft w:val="360"/>
          <w:marRight w:val="0"/>
          <w:marTop w:val="200"/>
          <w:marBottom w:val="0"/>
          <w:divBdr>
            <w:top w:val="none" w:sz="0" w:space="0" w:color="auto"/>
            <w:left w:val="none" w:sz="0" w:space="0" w:color="auto"/>
            <w:bottom w:val="none" w:sz="0" w:space="0" w:color="auto"/>
            <w:right w:val="none" w:sz="0" w:space="0" w:color="auto"/>
          </w:divBdr>
        </w:div>
        <w:div w:id="1555967950">
          <w:marLeft w:val="360"/>
          <w:marRight w:val="0"/>
          <w:marTop w:val="200"/>
          <w:marBottom w:val="0"/>
          <w:divBdr>
            <w:top w:val="none" w:sz="0" w:space="0" w:color="auto"/>
            <w:left w:val="none" w:sz="0" w:space="0" w:color="auto"/>
            <w:bottom w:val="none" w:sz="0" w:space="0" w:color="auto"/>
            <w:right w:val="none" w:sz="0" w:space="0" w:color="auto"/>
          </w:divBdr>
        </w:div>
        <w:div w:id="2092309299">
          <w:marLeft w:val="360"/>
          <w:marRight w:val="0"/>
          <w:marTop w:val="200"/>
          <w:marBottom w:val="0"/>
          <w:divBdr>
            <w:top w:val="none" w:sz="0" w:space="0" w:color="auto"/>
            <w:left w:val="none" w:sz="0" w:space="0" w:color="auto"/>
            <w:bottom w:val="none" w:sz="0" w:space="0" w:color="auto"/>
            <w:right w:val="none" w:sz="0" w:space="0" w:color="auto"/>
          </w:divBdr>
        </w:div>
        <w:div w:id="526530169">
          <w:marLeft w:val="1080"/>
          <w:marRight w:val="0"/>
          <w:marTop w:val="100"/>
          <w:marBottom w:val="0"/>
          <w:divBdr>
            <w:top w:val="none" w:sz="0" w:space="0" w:color="auto"/>
            <w:left w:val="none" w:sz="0" w:space="0" w:color="auto"/>
            <w:bottom w:val="none" w:sz="0" w:space="0" w:color="auto"/>
            <w:right w:val="none" w:sz="0" w:space="0" w:color="auto"/>
          </w:divBdr>
        </w:div>
        <w:div w:id="1053457727">
          <w:marLeft w:val="360"/>
          <w:marRight w:val="0"/>
          <w:marTop w:val="200"/>
          <w:marBottom w:val="0"/>
          <w:divBdr>
            <w:top w:val="none" w:sz="0" w:space="0" w:color="auto"/>
            <w:left w:val="none" w:sz="0" w:space="0" w:color="auto"/>
            <w:bottom w:val="none" w:sz="0" w:space="0" w:color="auto"/>
            <w:right w:val="none" w:sz="0" w:space="0" w:color="auto"/>
          </w:divBdr>
        </w:div>
      </w:divsChild>
    </w:div>
    <w:div w:id="115217245">
      <w:bodyDiv w:val="1"/>
      <w:marLeft w:val="0"/>
      <w:marRight w:val="0"/>
      <w:marTop w:val="0"/>
      <w:marBottom w:val="0"/>
      <w:divBdr>
        <w:top w:val="none" w:sz="0" w:space="0" w:color="auto"/>
        <w:left w:val="none" w:sz="0" w:space="0" w:color="auto"/>
        <w:bottom w:val="none" w:sz="0" w:space="0" w:color="auto"/>
        <w:right w:val="none" w:sz="0" w:space="0" w:color="auto"/>
      </w:divBdr>
      <w:divsChild>
        <w:div w:id="367024532">
          <w:marLeft w:val="360"/>
          <w:marRight w:val="0"/>
          <w:marTop w:val="200"/>
          <w:marBottom w:val="0"/>
          <w:divBdr>
            <w:top w:val="none" w:sz="0" w:space="0" w:color="auto"/>
            <w:left w:val="none" w:sz="0" w:space="0" w:color="auto"/>
            <w:bottom w:val="none" w:sz="0" w:space="0" w:color="auto"/>
            <w:right w:val="none" w:sz="0" w:space="0" w:color="auto"/>
          </w:divBdr>
        </w:div>
        <w:div w:id="938217083">
          <w:marLeft w:val="360"/>
          <w:marRight w:val="0"/>
          <w:marTop w:val="200"/>
          <w:marBottom w:val="0"/>
          <w:divBdr>
            <w:top w:val="none" w:sz="0" w:space="0" w:color="auto"/>
            <w:left w:val="none" w:sz="0" w:space="0" w:color="auto"/>
            <w:bottom w:val="none" w:sz="0" w:space="0" w:color="auto"/>
            <w:right w:val="none" w:sz="0" w:space="0" w:color="auto"/>
          </w:divBdr>
        </w:div>
        <w:div w:id="834493184">
          <w:marLeft w:val="360"/>
          <w:marRight w:val="0"/>
          <w:marTop w:val="200"/>
          <w:marBottom w:val="0"/>
          <w:divBdr>
            <w:top w:val="none" w:sz="0" w:space="0" w:color="auto"/>
            <w:left w:val="none" w:sz="0" w:space="0" w:color="auto"/>
            <w:bottom w:val="none" w:sz="0" w:space="0" w:color="auto"/>
            <w:right w:val="none" w:sz="0" w:space="0" w:color="auto"/>
          </w:divBdr>
        </w:div>
        <w:div w:id="1482381558">
          <w:marLeft w:val="360"/>
          <w:marRight w:val="0"/>
          <w:marTop w:val="200"/>
          <w:marBottom w:val="0"/>
          <w:divBdr>
            <w:top w:val="none" w:sz="0" w:space="0" w:color="auto"/>
            <w:left w:val="none" w:sz="0" w:space="0" w:color="auto"/>
            <w:bottom w:val="none" w:sz="0" w:space="0" w:color="auto"/>
            <w:right w:val="none" w:sz="0" w:space="0" w:color="auto"/>
          </w:divBdr>
        </w:div>
      </w:divsChild>
    </w:div>
    <w:div w:id="1092168818">
      <w:bodyDiv w:val="1"/>
      <w:marLeft w:val="0"/>
      <w:marRight w:val="0"/>
      <w:marTop w:val="0"/>
      <w:marBottom w:val="0"/>
      <w:divBdr>
        <w:top w:val="none" w:sz="0" w:space="0" w:color="auto"/>
        <w:left w:val="none" w:sz="0" w:space="0" w:color="auto"/>
        <w:bottom w:val="none" w:sz="0" w:space="0" w:color="auto"/>
        <w:right w:val="none" w:sz="0" w:space="0" w:color="auto"/>
      </w:divBdr>
      <w:divsChild>
        <w:div w:id="1924412025">
          <w:marLeft w:val="360"/>
          <w:marRight w:val="0"/>
          <w:marTop w:val="200"/>
          <w:marBottom w:val="0"/>
          <w:divBdr>
            <w:top w:val="none" w:sz="0" w:space="0" w:color="auto"/>
            <w:left w:val="none" w:sz="0" w:space="0" w:color="auto"/>
            <w:bottom w:val="none" w:sz="0" w:space="0" w:color="auto"/>
            <w:right w:val="none" w:sz="0" w:space="0" w:color="auto"/>
          </w:divBdr>
        </w:div>
        <w:div w:id="1639142961">
          <w:marLeft w:val="360"/>
          <w:marRight w:val="0"/>
          <w:marTop w:val="200"/>
          <w:marBottom w:val="0"/>
          <w:divBdr>
            <w:top w:val="none" w:sz="0" w:space="0" w:color="auto"/>
            <w:left w:val="none" w:sz="0" w:space="0" w:color="auto"/>
            <w:bottom w:val="none" w:sz="0" w:space="0" w:color="auto"/>
            <w:right w:val="none" w:sz="0" w:space="0" w:color="auto"/>
          </w:divBdr>
        </w:div>
        <w:div w:id="1617440699">
          <w:marLeft w:val="360"/>
          <w:marRight w:val="0"/>
          <w:marTop w:val="200"/>
          <w:marBottom w:val="0"/>
          <w:divBdr>
            <w:top w:val="none" w:sz="0" w:space="0" w:color="auto"/>
            <w:left w:val="none" w:sz="0" w:space="0" w:color="auto"/>
            <w:bottom w:val="none" w:sz="0" w:space="0" w:color="auto"/>
            <w:right w:val="none" w:sz="0" w:space="0" w:color="auto"/>
          </w:divBdr>
        </w:div>
        <w:div w:id="1528834096">
          <w:marLeft w:val="360"/>
          <w:marRight w:val="0"/>
          <w:marTop w:val="200"/>
          <w:marBottom w:val="0"/>
          <w:divBdr>
            <w:top w:val="none" w:sz="0" w:space="0" w:color="auto"/>
            <w:left w:val="none" w:sz="0" w:space="0" w:color="auto"/>
            <w:bottom w:val="none" w:sz="0" w:space="0" w:color="auto"/>
            <w:right w:val="none" w:sz="0" w:space="0" w:color="auto"/>
          </w:divBdr>
        </w:div>
      </w:divsChild>
    </w:div>
    <w:div w:id="1159418576">
      <w:bodyDiv w:val="1"/>
      <w:marLeft w:val="0"/>
      <w:marRight w:val="0"/>
      <w:marTop w:val="0"/>
      <w:marBottom w:val="0"/>
      <w:divBdr>
        <w:top w:val="none" w:sz="0" w:space="0" w:color="auto"/>
        <w:left w:val="none" w:sz="0" w:space="0" w:color="auto"/>
        <w:bottom w:val="none" w:sz="0" w:space="0" w:color="auto"/>
        <w:right w:val="none" w:sz="0" w:space="0" w:color="auto"/>
      </w:divBdr>
      <w:divsChild>
        <w:div w:id="1689328020">
          <w:marLeft w:val="806"/>
          <w:marRight w:val="0"/>
          <w:marTop w:val="0"/>
          <w:marBottom w:val="0"/>
          <w:divBdr>
            <w:top w:val="none" w:sz="0" w:space="0" w:color="auto"/>
            <w:left w:val="none" w:sz="0" w:space="0" w:color="auto"/>
            <w:bottom w:val="none" w:sz="0" w:space="0" w:color="auto"/>
            <w:right w:val="none" w:sz="0" w:space="0" w:color="auto"/>
          </w:divBdr>
        </w:div>
        <w:div w:id="351807056">
          <w:marLeft w:val="2160"/>
          <w:marRight w:val="0"/>
          <w:marTop w:val="0"/>
          <w:marBottom w:val="0"/>
          <w:divBdr>
            <w:top w:val="none" w:sz="0" w:space="0" w:color="auto"/>
            <w:left w:val="none" w:sz="0" w:space="0" w:color="auto"/>
            <w:bottom w:val="none" w:sz="0" w:space="0" w:color="auto"/>
            <w:right w:val="none" w:sz="0" w:space="0" w:color="auto"/>
          </w:divBdr>
        </w:div>
        <w:div w:id="709113456">
          <w:marLeft w:val="806"/>
          <w:marRight w:val="0"/>
          <w:marTop w:val="0"/>
          <w:marBottom w:val="0"/>
          <w:divBdr>
            <w:top w:val="none" w:sz="0" w:space="0" w:color="auto"/>
            <w:left w:val="none" w:sz="0" w:space="0" w:color="auto"/>
            <w:bottom w:val="none" w:sz="0" w:space="0" w:color="auto"/>
            <w:right w:val="none" w:sz="0" w:space="0" w:color="auto"/>
          </w:divBdr>
        </w:div>
        <w:div w:id="1506045430">
          <w:marLeft w:val="2246"/>
          <w:marRight w:val="0"/>
          <w:marTop w:val="0"/>
          <w:marBottom w:val="0"/>
          <w:divBdr>
            <w:top w:val="none" w:sz="0" w:space="0" w:color="auto"/>
            <w:left w:val="none" w:sz="0" w:space="0" w:color="auto"/>
            <w:bottom w:val="none" w:sz="0" w:space="0" w:color="auto"/>
            <w:right w:val="none" w:sz="0" w:space="0" w:color="auto"/>
          </w:divBdr>
        </w:div>
        <w:div w:id="427384527">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Asian</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Sheet1!$A$2:$A$5</c:f>
              <c:strCache>
                <c:ptCount val="3"/>
                <c:pt idx="0">
                  <c:v>Cohort</c:v>
                </c:pt>
                <c:pt idx="1">
                  <c:v>Non-CTE</c:v>
                </c:pt>
                <c:pt idx="2">
                  <c:v>CTE</c:v>
                </c:pt>
              </c:strCache>
            </c:strRef>
          </c:cat>
          <c:val>
            <c:numRef>
              <c:f>Sheet1!$B$2:$B$5</c:f>
              <c:numCache>
                <c:formatCode>0.0%</c:formatCode>
                <c:ptCount val="4"/>
                <c:pt idx="0">
                  <c:v>9.1999999999999998E-2</c:v>
                </c:pt>
                <c:pt idx="1">
                  <c:v>0.107</c:v>
                </c:pt>
                <c:pt idx="2">
                  <c:v>0.05</c:v>
                </c:pt>
              </c:numCache>
            </c:numRef>
          </c:val>
          <c:extLst>
            <c:ext xmlns:c16="http://schemas.microsoft.com/office/drawing/2014/chart" uri="{C3380CC4-5D6E-409C-BE32-E72D297353CC}">
              <c16:uniqueId val="{00000000-239A-4F80-9562-453B2D04CF9A}"/>
            </c:ext>
          </c:extLst>
        </c:ser>
        <c:ser>
          <c:idx val="1"/>
          <c:order val="1"/>
          <c:tx>
            <c:strRef>
              <c:f>Sheet1!$C$1</c:f>
              <c:strCache>
                <c:ptCount val="1"/>
                <c:pt idx="0">
                  <c:v>Black</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Sheet1!$A$2:$A$5</c:f>
              <c:strCache>
                <c:ptCount val="3"/>
                <c:pt idx="0">
                  <c:v>Cohort</c:v>
                </c:pt>
                <c:pt idx="1">
                  <c:v>Non-CTE</c:v>
                </c:pt>
                <c:pt idx="2">
                  <c:v>CTE</c:v>
                </c:pt>
              </c:strCache>
            </c:strRef>
          </c:cat>
          <c:val>
            <c:numRef>
              <c:f>Sheet1!$C$2:$C$5</c:f>
              <c:numCache>
                <c:formatCode>0.0%</c:formatCode>
                <c:ptCount val="4"/>
                <c:pt idx="0">
                  <c:v>0.56000000000000005</c:v>
                </c:pt>
                <c:pt idx="1">
                  <c:v>0.53900000000000003</c:v>
                </c:pt>
                <c:pt idx="2">
                  <c:v>0.622</c:v>
                </c:pt>
              </c:numCache>
            </c:numRef>
          </c:val>
          <c:extLst>
            <c:ext xmlns:c16="http://schemas.microsoft.com/office/drawing/2014/chart" uri="{C3380CC4-5D6E-409C-BE32-E72D297353CC}">
              <c16:uniqueId val="{00000001-239A-4F80-9562-453B2D04CF9A}"/>
            </c:ext>
          </c:extLst>
        </c:ser>
        <c:ser>
          <c:idx val="2"/>
          <c:order val="2"/>
          <c:tx>
            <c:strRef>
              <c:f>Sheet1!$D$1</c:f>
              <c:strCache>
                <c:ptCount val="1"/>
                <c:pt idx="0">
                  <c:v>Hispanic</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dLbls>
            <c:dLbl>
              <c:idx val="0"/>
              <c:layout>
                <c:manualLayout>
                  <c:x val="4.4368600682593885E-2"/>
                  <c:y val="0"/>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239A-4F80-9562-453B2D04CF9A}"/>
                </c:ext>
              </c:extLst>
            </c:dLbl>
            <c:dLbl>
              <c:idx val="1"/>
              <c:layout>
                <c:manualLayout>
                  <c:x val="2.7303754266211604E-2"/>
                  <c:y val="0"/>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239A-4F80-9562-453B2D04CF9A}"/>
                </c:ext>
              </c:extLst>
            </c:dLbl>
            <c:dLbl>
              <c:idx val="2"/>
              <c:layout>
                <c:manualLayout>
                  <c:x val="2.3890784982935155E-2"/>
                  <c:y val="0"/>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239A-4F80-9562-453B2D04CF9A}"/>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Sheet1!$A$2:$A$5</c:f>
              <c:strCache>
                <c:ptCount val="3"/>
                <c:pt idx="0">
                  <c:v>Cohort</c:v>
                </c:pt>
                <c:pt idx="1">
                  <c:v>Non-CTE</c:v>
                </c:pt>
                <c:pt idx="2">
                  <c:v>CTE</c:v>
                </c:pt>
              </c:strCache>
            </c:strRef>
          </c:cat>
          <c:val>
            <c:numRef>
              <c:f>Sheet1!$D$2:$D$5</c:f>
              <c:numCache>
                <c:formatCode>0.0%</c:formatCode>
                <c:ptCount val="4"/>
                <c:pt idx="0">
                  <c:v>0.17799999999999999</c:v>
                </c:pt>
                <c:pt idx="1">
                  <c:v>0.16900000000000001</c:v>
                </c:pt>
                <c:pt idx="2">
                  <c:v>0.20399999999999999</c:v>
                </c:pt>
              </c:numCache>
            </c:numRef>
          </c:val>
          <c:extLst>
            <c:ext xmlns:c16="http://schemas.microsoft.com/office/drawing/2014/chart" uri="{C3380CC4-5D6E-409C-BE32-E72D297353CC}">
              <c16:uniqueId val="{00000002-239A-4F80-9562-453B2D04CF9A}"/>
            </c:ext>
          </c:extLst>
        </c:ser>
        <c:ser>
          <c:idx val="3"/>
          <c:order val="3"/>
          <c:tx>
            <c:strRef>
              <c:f>Sheet1!$E$1</c:f>
              <c:strCache>
                <c:ptCount val="1"/>
                <c:pt idx="0">
                  <c:v>Multi-Racial</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cat>
            <c:strRef>
              <c:f>Sheet1!$A$2:$A$5</c:f>
              <c:strCache>
                <c:ptCount val="3"/>
                <c:pt idx="0">
                  <c:v>Cohort</c:v>
                </c:pt>
                <c:pt idx="1">
                  <c:v>Non-CTE</c:v>
                </c:pt>
                <c:pt idx="2">
                  <c:v>CTE</c:v>
                </c:pt>
              </c:strCache>
            </c:strRef>
          </c:cat>
          <c:val>
            <c:numRef>
              <c:f>Sheet1!$E$2:$E$5</c:f>
              <c:numCache>
                <c:formatCode>0.0%</c:formatCode>
                <c:ptCount val="4"/>
                <c:pt idx="0">
                  <c:v>2.1000000000000001E-2</c:v>
                </c:pt>
                <c:pt idx="1">
                  <c:v>2.4E-2</c:v>
                </c:pt>
                <c:pt idx="2">
                  <c:v>1.4E-2</c:v>
                </c:pt>
              </c:numCache>
            </c:numRef>
          </c:val>
          <c:extLst>
            <c:ext xmlns:c16="http://schemas.microsoft.com/office/drawing/2014/chart" uri="{C3380CC4-5D6E-409C-BE32-E72D297353CC}">
              <c16:uniqueId val="{00000003-239A-4F80-9562-453B2D04CF9A}"/>
            </c:ext>
          </c:extLst>
        </c:ser>
        <c:ser>
          <c:idx val="4"/>
          <c:order val="4"/>
          <c:tx>
            <c:strRef>
              <c:f>Sheet1!$F$1</c:f>
              <c:strCache>
                <c:ptCount val="1"/>
                <c:pt idx="0">
                  <c:v>White</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cat>
            <c:strRef>
              <c:f>Sheet1!$A$2:$A$5</c:f>
              <c:strCache>
                <c:ptCount val="3"/>
                <c:pt idx="0">
                  <c:v>Cohort</c:v>
                </c:pt>
                <c:pt idx="1">
                  <c:v>Non-CTE</c:v>
                </c:pt>
                <c:pt idx="2">
                  <c:v>CTE</c:v>
                </c:pt>
              </c:strCache>
            </c:strRef>
          </c:cat>
          <c:val>
            <c:numRef>
              <c:f>Sheet1!$F$2:$F$5</c:f>
              <c:numCache>
                <c:formatCode>0.0%</c:formatCode>
                <c:ptCount val="4"/>
                <c:pt idx="0">
                  <c:v>0.14899999999999999</c:v>
                </c:pt>
                <c:pt idx="1">
                  <c:v>0.16200000000000001</c:v>
                </c:pt>
                <c:pt idx="2">
                  <c:v>0.111</c:v>
                </c:pt>
              </c:numCache>
            </c:numRef>
          </c:val>
          <c:extLst>
            <c:ext xmlns:c16="http://schemas.microsoft.com/office/drawing/2014/chart" uri="{C3380CC4-5D6E-409C-BE32-E72D297353CC}">
              <c16:uniqueId val="{00000004-239A-4F80-9562-453B2D04CF9A}"/>
            </c:ext>
          </c:extLst>
        </c:ser>
        <c:dLbls>
          <c:showLegendKey val="0"/>
          <c:showVal val="0"/>
          <c:showCatName val="0"/>
          <c:showSerName val="0"/>
          <c:showPercent val="0"/>
          <c:showBubbleSize val="0"/>
        </c:dLbls>
        <c:gapWidth val="65"/>
        <c:shape val="box"/>
        <c:axId val="139625135"/>
        <c:axId val="139637615"/>
        <c:axId val="0"/>
      </c:bar3DChart>
      <c:catAx>
        <c:axId val="139625135"/>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chemeClr val="dk1">
                    <a:lumMod val="75000"/>
                    <a:lumOff val="25000"/>
                  </a:schemeClr>
                </a:solidFill>
                <a:latin typeface="+mn-lt"/>
                <a:ea typeface="+mn-ea"/>
                <a:cs typeface="+mn-cs"/>
              </a:defRPr>
            </a:pPr>
            <a:endParaRPr lang="en-US"/>
          </a:p>
        </c:txPr>
        <c:crossAx val="139637615"/>
        <c:crosses val="autoZero"/>
        <c:auto val="1"/>
        <c:lblAlgn val="ctr"/>
        <c:lblOffset val="100"/>
        <c:noMultiLvlLbl val="0"/>
      </c:catAx>
      <c:valAx>
        <c:axId val="139637615"/>
        <c:scaling>
          <c:orientation val="minMax"/>
        </c:scaling>
        <c:delete val="0"/>
        <c:axPos val="l"/>
        <c:majorGridlines>
          <c:spPr>
            <a:ln w="9525" cap="flat" cmpd="sng" algn="ctr">
              <a:solidFill>
                <a:schemeClr val="dk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dk1">
                    <a:lumMod val="75000"/>
                    <a:lumOff val="25000"/>
                  </a:schemeClr>
                </a:solidFill>
                <a:latin typeface="+mn-lt"/>
                <a:ea typeface="+mn-ea"/>
                <a:cs typeface="+mn-cs"/>
              </a:defRPr>
            </a:pPr>
            <a:endParaRPr lang="en-US"/>
          </a:p>
        </c:txPr>
        <c:crossAx val="139625135"/>
        <c:crosses val="autoZero"/>
        <c:crossBetween val="between"/>
      </c:valAx>
      <c:spPr>
        <a:noFill/>
        <a:ln>
          <a:noFill/>
        </a:ln>
        <a:effectLst/>
      </c:spPr>
    </c:plotArea>
    <c:legend>
      <c:legendPos val="b"/>
      <c:layout>
        <c:manualLayout>
          <c:xMode val="edge"/>
          <c:yMode val="edge"/>
          <c:x val="0.13150264773441922"/>
          <c:y val="0.86133527146715749"/>
          <c:w val="0.71048255256411108"/>
          <c:h val="9.1206744318250529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Non-CTE</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dLbl>
              <c:idx val="2"/>
              <c:layout>
                <c:manualLayout>
                  <c:x val="-2.8885037550548817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439B-42B3-8D45-4E647ED18AA6}"/>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Sheet1!$A$2:$A$4</c:f>
              <c:strCache>
                <c:ptCount val="3"/>
                <c:pt idx="0">
                  <c:v>Met All Credit Requirements</c:v>
                </c:pt>
                <c:pt idx="1">
                  <c:v>Met Raw Credit Requirements</c:v>
                </c:pt>
                <c:pt idx="2">
                  <c:v>Met Core Requirements</c:v>
                </c:pt>
              </c:strCache>
            </c:strRef>
          </c:cat>
          <c:val>
            <c:numRef>
              <c:f>Sheet1!$B$2:$B$4</c:f>
              <c:numCache>
                <c:formatCode>0.0%</c:formatCode>
                <c:ptCount val="3"/>
                <c:pt idx="0">
                  <c:v>0.108</c:v>
                </c:pt>
                <c:pt idx="1">
                  <c:v>0.11</c:v>
                </c:pt>
                <c:pt idx="2">
                  <c:v>0.10199999999999999</c:v>
                </c:pt>
              </c:numCache>
            </c:numRef>
          </c:val>
          <c:extLst>
            <c:ext xmlns:c16="http://schemas.microsoft.com/office/drawing/2014/chart" uri="{C3380CC4-5D6E-409C-BE32-E72D297353CC}">
              <c16:uniqueId val="{00000000-439B-42B3-8D45-4E647ED18AA6}"/>
            </c:ext>
          </c:extLst>
        </c:ser>
        <c:ser>
          <c:idx val="1"/>
          <c:order val="1"/>
          <c:tx>
            <c:strRef>
              <c:f>Sheet1!$C$1</c:f>
              <c:strCache>
                <c:ptCount val="1"/>
                <c:pt idx="0">
                  <c:v>CTE</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dLbl>
              <c:idx val="0"/>
              <c:layout>
                <c:manualLayout>
                  <c:x val="1.4442518775274409E-2"/>
                  <c:y val="-7.8212975885447053E-18"/>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439B-42B3-8D45-4E647ED18AA6}"/>
                </c:ext>
              </c:extLst>
            </c:dLbl>
            <c:dLbl>
              <c:idx val="1"/>
              <c:layout>
                <c:manualLayout>
                  <c:x val="-2.8885037550548816E-3"/>
                  <c:y val="-7.8212975885447053E-18"/>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39B-42B3-8D45-4E647ED18AA6}"/>
                </c:ext>
              </c:extLst>
            </c:dLbl>
            <c:dLbl>
              <c:idx val="2"/>
              <c:layout>
                <c:manualLayout>
                  <c:x val="-2.8885037550548816E-3"/>
                  <c:y val="-3.1285190354178821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439B-42B3-8D45-4E647ED18AA6}"/>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Met All Credit Requirements</c:v>
                </c:pt>
                <c:pt idx="1">
                  <c:v>Met Raw Credit Requirements</c:v>
                </c:pt>
                <c:pt idx="2">
                  <c:v>Met Core Requirements</c:v>
                </c:pt>
              </c:strCache>
            </c:strRef>
          </c:cat>
          <c:val>
            <c:numRef>
              <c:f>Sheet1!$C$2:$C$4</c:f>
              <c:numCache>
                <c:formatCode>0.0%</c:formatCode>
                <c:ptCount val="3"/>
                <c:pt idx="0">
                  <c:v>0.18</c:v>
                </c:pt>
                <c:pt idx="1">
                  <c:v>0.19</c:v>
                </c:pt>
                <c:pt idx="2">
                  <c:v>0.152</c:v>
                </c:pt>
              </c:numCache>
            </c:numRef>
          </c:val>
          <c:extLst>
            <c:ext xmlns:c16="http://schemas.microsoft.com/office/drawing/2014/chart" uri="{C3380CC4-5D6E-409C-BE32-E72D297353CC}">
              <c16:uniqueId val="{00000003-439B-42B3-8D45-4E647ED18AA6}"/>
            </c:ext>
          </c:extLst>
        </c:ser>
        <c:dLbls>
          <c:showLegendKey val="0"/>
          <c:showVal val="0"/>
          <c:showCatName val="0"/>
          <c:showSerName val="0"/>
          <c:showPercent val="0"/>
          <c:showBubbleSize val="0"/>
        </c:dLbls>
        <c:gapWidth val="65"/>
        <c:shape val="box"/>
        <c:axId val="1557451408"/>
        <c:axId val="1557444752"/>
        <c:axId val="0"/>
      </c:bar3DChart>
      <c:catAx>
        <c:axId val="155745140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800" b="1" i="0" u="none" strike="noStrike" kern="1200" cap="all" baseline="0">
                <a:solidFill>
                  <a:schemeClr val="dk1">
                    <a:lumMod val="75000"/>
                    <a:lumOff val="25000"/>
                  </a:schemeClr>
                </a:solidFill>
                <a:latin typeface="+mn-lt"/>
                <a:ea typeface="+mn-ea"/>
                <a:cs typeface="+mn-cs"/>
              </a:defRPr>
            </a:pPr>
            <a:endParaRPr lang="en-US"/>
          </a:p>
        </c:txPr>
        <c:crossAx val="1557444752"/>
        <c:crosses val="autoZero"/>
        <c:auto val="1"/>
        <c:lblAlgn val="ctr"/>
        <c:lblOffset val="100"/>
        <c:noMultiLvlLbl val="0"/>
      </c:catAx>
      <c:valAx>
        <c:axId val="1557444752"/>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dk1">
                    <a:lumMod val="75000"/>
                    <a:lumOff val="25000"/>
                  </a:schemeClr>
                </a:solidFill>
                <a:latin typeface="+mn-lt"/>
                <a:ea typeface="+mn-ea"/>
                <a:cs typeface="+mn-cs"/>
              </a:defRPr>
            </a:pPr>
            <a:endParaRPr lang="en-US"/>
          </a:p>
        </c:txPr>
        <c:crossAx val="1557451408"/>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Male</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dLbl>
              <c:idx val="1"/>
              <c:layout>
                <c:manualLayout>
                  <c:x val="-6.7544748395812846E-3"/>
                  <c:y val="8.7298123090353459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272-414C-8D3A-F5412A3EE6B0}"/>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Sheet1!$A$2:$A$4</c:f>
              <c:strCache>
                <c:ptCount val="3"/>
                <c:pt idx="0">
                  <c:v>Cohort</c:v>
                </c:pt>
                <c:pt idx="1">
                  <c:v>Non-CTE</c:v>
                </c:pt>
                <c:pt idx="2">
                  <c:v>CTE</c:v>
                </c:pt>
              </c:strCache>
            </c:strRef>
          </c:cat>
          <c:val>
            <c:numRef>
              <c:f>Sheet1!$B$2:$B$4</c:f>
              <c:numCache>
                <c:formatCode>0.0%</c:formatCode>
                <c:ptCount val="3"/>
                <c:pt idx="0">
                  <c:v>0.51300000000000001</c:v>
                </c:pt>
                <c:pt idx="1">
                  <c:v>0.499</c:v>
                </c:pt>
                <c:pt idx="2">
                  <c:v>0.55400000000000005</c:v>
                </c:pt>
              </c:numCache>
            </c:numRef>
          </c:val>
          <c:extLst>
            <c:ext xmlns:c16="http://schemas.microsoft.com/office/drawing/2014/chart" uri="{C3380CC4-5D6E-409C-BE32-E72D297353CC}">
              <c16:uniqueId val="{00000000-7D47-4158-867C-F6FA69796A06}"/>
            </c:ext>
          </c:extLst>
        </c:ser>
        <c:ser>
          <c:idx val="1"/>
          <c:order val="1"/>
          <c:tx>
            <c:strRef>
              <c:f>Sheet1!$C$1</c:f>
              <c:strCache>
                <c:ptCount val="1"/>
                <c:pt idx="0">
                  <c:v>Female</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dLbl>
              <c:idx val="1"/>
              <c:layout>
                <c:manualLayout>
                  <c:x val="0"/>
                  <c:y val="8.7298123090353459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272-414C-8D3A-F5412A3EE6B0}"/>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Sheet1!$A$2:$A$4</c:f>
              <c:strCache>
                <c:ptCount val="3"/>
                <c:pt idx="0">
                  <c:v>Cohort</c:v>
                </c:pt>
                <c:pt idx="1">
                  <c:v>Non-CTE</c:v>
                </c:pt>
                <c:pt idx="2">
                  <c:v>CTE</c:v>
                </c:pt>
              </c:strCache>
            </c:strRef>
          </c:cat>
          <c:val>
            <c:numRef>
              <c:f>Sheet1!$C$2:$C$4</c:f>
              <c:numCache>
                <c:formatCode>0.0%</c:formatCode>
                <c:ptCount val="3"/>
                <c:pt idx="0">
                  <c:v>0.48699999999999999</c:v>
                </c:pt>
                <c:pt idx="1">
                  <c:v>0.501</c:v>
                </c:pt>
                <c:pt idx="2">
                  <c:v>0.44600000000000001</c:v>
                </c:pt>
              </c:numCache>
            </c:numRef>
          </c:val>
          <c:extLst>
            <c:ext xmlns:c16="http://schemas.microsoft.com/office/drawing/2014/chart" uri="{C3380CC4-5D6E-409C-BE32-E72D297353CC}">
              <c16:uniqueId val="{00000001-7D47-4158-867C-F6FA69796A06}"/>
            </c:ext>
          </c:extLst>
        </c:ser>
        <c:dLbls>
          <c:showLegendKey val="0"/>
          <c:showVal val="0"/>
          <c:showCatName val="0"/>
          <c:showSerName val="0"/>
          <c:showPercent val="0"/>
          <c:showBubbleSize val="0"/>
        </c:dLbls>
        <c:gapWidth val="65"/>
        <c:shape val="box"/>
        <c:axId val="139640527"/>
        <c:axId val="139631375"/>
        <c:axId val="0"/>
      </c:bar3DChart>
      <c:catAx>
        <c:axId val="139640527"/>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chemeClr val="dk1">
                    <a:lumMod val="75000"/>
                    <a:lumOff val="25000"/>
                  </a:schemeClr>
                </a:solidFill>
                <a:latin typeface="+mn-lt"/>
                <a:ea typeface="+mn-ea"/>
                <a:cs typeface="+mn-cs"/>
              </a:defRPr>
            </a:pPr>
            <a:endParaRPr lang="en-US"/>
          </a:p>
        </c:txPr>
        <c:crossAx val="139631375"/>
        <c:crosses val="autoZero"/>
        <c:auto val="1"/>
        <c:lblAlgn val="ctr"/>
        <c:lblOffset val="100"/>
        <c:noMultiLvlLbl val="0"/>
      </c:catAx>
      <c:valAx>
        <c:axId val="139631375"/>
        <c:scaling>
          <c:orientation val="minMax"/>
        </c:scaling>
        <c:delete val="0"/>
        <c:axPos val="l"/>
        <c:majorGridlines>
          <c:spPr>
            <a:ln w="9525" cap="flat" cmpd="sng" algn="ctr">
              <a:solidFill>
                <a:schemeClr val="dk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dk1">
                    <a:lumMod val="75000"/>
                    <a:lumOff val="25000"/>
                  </a:schemeClr>
                </a:solidFill>
                <a:latin typeface="+mn-lt"/>
                <a:ea typeface="+mn-ea"/>
                <a:cs typeface="+mn-cs"/>
              </a:defRPr>
            </a:pPr>
            <a:endParaRPr lang="en-US"/>
          </a:p>
        </c:txPr>
        <c:crossAx val="139640527"/>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IEP</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dLbl>
              <c:idx val="0"/>
              <c:layout>
                <c:manualLayout>
                  <c:x val="-3.5639073384092015E-2"/>
                  <c:y val="-3.9579277952393759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274-4240-B966-99FE4791B473}"/>
                </c:ext>
              </c:extLst>
            </c:dLbl>
            <c:dLbl>
              <c:idx val="2"/>
              <c:layout>
                <c:manualLayout>
                  <c:x val="-2.5919326097521466E-2"/>
                  <c:y val="-3.9579277952393759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1227-471A-973C-EAB89C6CCE25}"/>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Sheet1!$A$2:$A$4</c:f>
              <c:strCache>
                <c:ptCount val="3"/>
                <c:pt idx="0">
                  <c:v>COHORT</c:v>
                </c:pt>
                <c:pt idx="1">
                  <c:v>NON-CTE</c:v>
                </c:pt>
                <c:pt idx="2">
                  <c:v>CTE</c:v>
                </c:pt>
              </c:strCache>
            </c:strRef>
          </c:cat>
          <c:val>
            <c:numRef>
              <c:f>Sheet1!$B$2:$B$4</c:f>
              <c:numCache>
                <c:formatCode>0.0%</c:formatCode>
                <c:ptCount val="3"/>
                <c:pt idx="0">
                  <c:v>0.17100000000000001</c:v>
                </c:pt>
                <c:pt idx="1">
                  <c:v>0.17299999999999999</c:v>
                </c:pt>
                <c:pt idx="2">
                  <c:v>0.16600000000000001</c:v>
                </c:pt>
              </c:numCache>
            </c:numRef>
          </c:val>
          <c:extLst>
            <c:ext xmlns:c16="http://schemas.microsoft.com/office/drawing/2014/chart" uri="{C3380CC4-5D6E-409C-BE32-E72D297353CC}">
              <c16:uniqueId val="{00000000-1227-471A-973C-EAB89C6CCE25}"/>
            </c:ext>
          </c:extLst>
        </c:ser>
        <c:ser>
          <c:idx val="1"/>
          <c:order val="1"/>
          <c:tx>
            <c:strRef>
              <c:f>Sheet1!$C$1</c:f>
              <c:strCache>
                <c:ptCount val="1"/>
                <c:pt idx="0">
                  <c:v>ELL</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dLbl>
              <c:idx val="0"/>
              <c:layout>
                <c:manualLayout>
                  <c:x val="-3.2399157621902422E-3"/>
                  <c:y val="-5.181347150259071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227-471A-973C-EAB89C6CCE25}"/>
                </c:ext>
              </c:extLst>
            </c:dLbl>
            <c:dLbl>
              <c:idx val="2"/>
              <c:layout>
                <c:manualLayout>
                  <c:x val="-3.2399157621901833E-2"/>
                  <c:y val="-0.1381692573402418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1227-471A-973C-EAB89C6CCE25}"/>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Sheet1!$A$2:$A$4</c:f>
              <c:strCache>
                <c:ptCount val="3"/>
                <c:pt idx="0">
                  <c:v>COHORT</c:v>
                </c:pt>
                <c:pt idx="1">
                  <c:v>NON-CTE</c:v>
                </c:pt>
                <c:pt idx="2">
                  <c:v>CTE</c:v>
                </c:pt>
              </c:strCache>
            </c:strRef>
          </c:cat>
          <c:val>
            <c:numRef>
              <c:f>Sheet1!$C$2:$C$4</c:f>
              <c:numCache>
                <c:formatCode>0.0%</c:formatCode>
                <c:ptCount val="3"/>
                <c:pt idx="0">
                  <c:v>8.5000000000000006E-2</c:v>
                </c:pt>
                <c:pt idx="1">
                  <c:v>8.5999999999999993E-2</c:v>
                </c:pt>
                <c:pt idx="2">
                  <c:v>7.9000000000000001E-2</c:v>
                </c:pt>
              </c:numCache>
            </c:numRef>
          </c:val>
          <c:extLst>
            <c:ext xmlns:c16="http://schemas.microsoft.com/office/drawing/2014/chart" uri="{C3380CC4-5D6E-409C-BE32-E72D297353CC}">
              <c16:uniqueId val="{00000001-1227-471A-973C-EAB89C6CCE25}"/>
            </c:ext>
          </c:extLst>
        </c:ser>
        <c:ser>
          <c:idx val="2"/>
          <c:order val="2"/>
          <c:tx>
            <c:strRef>
              <c:f>Sheet1!$D$1</c:f>
              <c:strCache>
                <c:ptCount val="1"/>
                <c:pt idx="0">
                  <c:v>Econ. Disadvantaged</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Sheet1!$A$2:$A$4</c:f>
              <c:strCache>
                <c:ptCount val="3"/>
                <c:pt idx="0">
                  <c:v>COHORT</c:v>
                </c:pt>
                <c:pt idx="1">
                  <c:v>NON-CTE</c:v>
                </c:pt>
                <c:pt idx="2">
                  <c:v>CTE</c:v>
                </c:pt>
              </c:strCache>
            </c:strRef>
          </c:cat>
          <c:val>
            <c:numRef>
              <c:f>Sheet1!$D$2:$D$4</c:f>
              <c:numCache>
                <c:formatCode>0.0%</c:formatCode>
                <c:ptCount val="3"/>
                <c:pt idx="0">
                  <c:v>0.58499999999999996</c:v>
                </c:pt>
                <c:pt idx="1">
                  <c:v>0.56200000000000006</c:v>
                </c:pt>
                <c:pt idx="2">
                  <c:v>0.65200000000000002</c:v>
                </c:pt>
              </c:numCache>
            </c:numRef>
          </c:val>
          <c:extLst>
            <c:ext xmlns:c16="http://schemas.microsoft.com/office/drawing/2014/chart" uri="{C3380CC4-5D6E-409C-BE32-E72D297353CC}">
              <c16:uniqueId val="{00000002-1227-471A-973C-EAB89C6CCE25}"/>
            </c:ext>
          </c:extLst>
        </c:ser>
        <c:dLbls>
          <c:showLegendKey val="0"/>
          <c:showVal val="0"/>
          <c:showCatName val="0"/>
          <c:showSerName val="0"/>
          <c:showPercent val="0"/>
          <c:showBubbleSize val="0"/>
        </c:dLbls>
        <c:gapWidth val="65"/>
        <c:shape val="box"/>
        <c:axId val="139640943"/>
        <c:axId val="139627215"/>
        <c:axId val="0"/>
      </c:bar3DChart>
      <c:catAx>
        <c:axId val="139640943"/>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chemeClr val="dk1">
                    <a:lumMod val="75000"/>
                    <a:lumOff val="25000"/>
                  </a:schemeClr>
                </a:solidFill>
                <a:latin typeface="+mn-lt"/>
                <a:ea typeface="+mn-ea"/>
                <a:cs typeface="+mn-cs"/>
              </a:defRPr>
            </a:pPr>
            <a:endParaRPr lang="en-US"/>
          </a:p>
        </c:txPr>
        <c:crossAx val="139627215"/>
        <c:crosses val="autoZero"/>
        <c:auto val="1"/>
        <c:lblAlgn val="ctr"/>
        <c:lblOffset val="100"/>
        <c:noMultiLvlLbl val="0"/>
      </c:catAx>
      <c:valAx>
        <c:axId val="139627215"/>
        <c:scaling>
          <c:orientation val="minMax"/>
        </c:scaling>
        <c:delete val="0"/>
        <c:axPos val="l"/>
        <c:majorGridlines>
          <c:spPr>
            <a:ln w="9525" cap="flat" cmpd="sng" algn="ctr">
              <a:solidFill>
                <a:schemeClr val="dk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dk1">
                    <a:lumMod val="75000"/>
                    <a:lumOff val="25000"/>
                  </a:schemeClr>
                </a:solidFill>
                <a:latin typeface="+mn-lt"/>
                <a:ea typeface="+mn-ea"/>
                <a:cs typeface="+mn-cs"/>
              </a:defRPr>
            </a:pPr>
            <a:endParaRPr lang="en-US"/>
          </a:p>
        </c:txPr>
        <c:crossAx val="139640943"/>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Column2</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Sheet1!$A$2:$A$3</c:f>
              <c:strCache>
                <c:ptCount val="2"/>
                <c:pt idx="0">
                  <c:v>CTE</c:v>
                </c:pt>
                <c:pt idx="1">
                  <c:v>NON-CTE</c:v>
                </c:pt>
              </c:strCache>
            </c:strRef>
          </c:cat>
          <c:val>
            <c:numRef>
              <c:f>Sheet1!$B$2:$B$3</c:f>
              <c:numCache>
                <c:formatCode>0.0%</c:formatCode>
                <c:ptCount val="2"/>
                <c:pt idx="0">
                  <c:v>0.88500000000000001</c:v>
                </c:pt>
                <c:pt idx="1">
                  <c:v>0.876</c:v>
                </c:pt>
              </c:numCache>
            </c:numRef>
          </c:val>
          <c:extLst>
            <c:ext xmlns:c16="http://schemas.microsoft.com/office/drawing/2014/chart" uri="{C3380CC4-5D6E-409C-BE32-E72D297353CC}">
              <c16:uniqueId val="{00000000-8B33-41FC-AE85-50008B8DA9C0}"/>
            </c:ext>
          </c:extLst>
        </c:ser>
        <c:dLbls>
          <c:showLegendKey val="0"/>
          <c:showVal val="0"/>
          <c:showCatName val="0"/>
          <c:showSerName val="0"/>
          <c:showPercent val="0"/>
          <c:showBubbleSize val="0"/>
        </c:dLbls>
        <c:gapWidth val="65"/>
        <c:shape val="box"/>
        <c:axId val="2059701695"/>
        <c:axId val="2059702527"/>
        <c:axId val="0"/>
      </c:bar3DChart>
      <c:catAx>
        <c:axId val="2059701695"/>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chemeClr val="dk1">
                    <a:lumMod val="75000"/>
                    <a:lumOff val="25000"/>
                  </a:schemeClr>
                </a:solidFill>
                <a:latin typeface="+mn-lt"/>
                <a:ea typeface="+mn-ea"/>
                <a:cs typeface="+mn-cs"/>
              </a:defRPr>
            </a:pPr>
            <a:endParaRPr lang="en-US"/>
          </a:p>
        </c:txPr>
        <c:crossAx val="2059702527"/>
        <c:crosses val="autoZero"/>
        <c:auto val="1"/>
        <c:lblAlgn val="ctr"/>
        <c:lblOffset val="100"/>
        <c:noMultiLvlLbl val="0"/>
      </c:catAx>
      <c:valAx>
        <c:axId val="2059702527"/>
        <c:scaling>
          <c:orientation val="minMax"/>
        </c:scaling>
        <c:delete val="0"/>
        <c:axPos val="l"/>
        <c:majorGridlines>
          <c:spPr>
            <a:ln w="9525" cap="flat" cmpd="sng" algn="ctr">
              <a:solidFill>
                <a:schemeClr val="dk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dk1">
                    <a:lumMod val="75000"/>
                    <a:lumOff val="25000"/>
                  </a:schemeClr>
                </a:solidFill>
                <a:latin typeface="+mn-lt"/>
                <a:ea typeface="+mn-ea"/>
                <a:cs typeface="+mn-cs"/>
              </a:defRPr>
            </a:pPr>
            <a:endParaRPr lang="en-US"/>
          </a:p>
        </c:txPr>
        <c:crossAx val="2059701695"/>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PSSA Reading (Proficient or Advanced)</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Sheet1!$A$2:$A$4</c:f>
              <c:strCache>
                <c:ptCount val="3"/>
                <c:pt idx="0">
                  <c:v>Cohort</c:v>
                </c:pt>
                <c:pt idx="1">
                  <c:v>Non-CTE</c:v>
                </c:pt>
                <c:pt idx="2">
                  <c:v>CTE</c:v>
                </c:pt>
              </c:strCache>
            </c:strRef>
          </c:cat>
          <c:val>
            <c:numRef>
              <c:f>Sheet1!$B$2:$B$4</c:f>
              <c:numCache>
                <c:formatCode>0.0%</c:formatCode>
                <c:ptCount val="3"/>
                <c:pt idx="0">
                  <c:v>0.61199999999999999</c:v>
                </c:pt>
                <c:pt idx="1">
                  <c:v>0.64800000000000002</c:v>
                </c:pt>
                <c:pt idx="2">
                  <c:v>0.51600000000000001</c:v>
                </c:pt>
              </c:numCache>
            </c:numRef>
          </c:val>
          <c:extLst>
            <c:ext xmlns:c16="http://schemas.microsoft.com/office/drawing/2014/chart" uri="{C3380CC4-5D6E-409C-BE32-E72D297353CC}">
              <c16:uniqueId val="{00000000-5160-4CB8-8AA8-AE749AE6EABB}"/>
            </c:ext>
          </c:extLst>
        </c:ser>
        <c:ser>
          <c:idx val="1"/>
          <c:order val="1"/>
          <c:tx>
            <c:strRef>
              <c:f>Sheet1!$C$1</c:f>
              <c:strCache>
                <c:ptCount val="1"/>
                <c:pt idx="0">
                  <c:v>PSSA Math (Proficient or Advanced)</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Sheet1!$A$2:$A$4</c:f>
              <c:strCache>
                <c:ptCount val="3"/>
                <c:pt idx="0">
                  <c:v>Cohort</c:v>
                </c:pt>
                <c:pt idx="1">
                  <c:v>Non-CTE</c:v>
                </c:pt>
                <c:pt idx="2">
                  <c:v>CTE</c:v>
                </c:pt>
              </c:strCache>
            </c:strRef>
          </c:cat>
          <c:val>
            <c:numRef>
              <c:f>Sheet1!$C$2:$C$4</c:f>
              <c:numCache>
                <c:formatCode>0.0%</c:formatCode>
                <c:ptCount val="3"/>
                <c:pt idx="0">
                  <c:v>0.57099999999999995</c:v>
                </c:pt>
                <c:pt idx="1">
                  <c:v>0.60199999999999998</c:v>
                </c:pt>
                <c:pt idx="2">
                  <c:v>0.48599999999999999</c:v>
                </c:pt>
              </c:numCache>
            </c:numRef>
          </c:val>
          <c:extLst>
            <c:ext xmlns:c16="http://schemas.microsoft.com/office/drawing/2014/chart" uri="{C3380CC4-5D6E-409C-BE32-E72D297353CC}">
              <c16:uniqueId val="{00000001-5160-4CB8-8AA8-AE749AE6EABB}"/>
            </c:ext>
          </c:extLst>
        </c:ser>
        <c:dLbls>
          <c:showLegendKey val="0"/>
          <c:showVal val="0"/>
          <c:showCatName val="0"/>
          <c:showSerName val="0"/>
          <c:showPercent val="0"/>
          <c:showBubbleSize val="0"/>
        </c:dLbls>
        <c:gapWidth val="65"/>
        <c:shape val="box"/>
        <c:axId val="139629295"/>
        <c:axId val="139622639"/>
        <c:axId val="0"/>
      </c:bar3DChart>
      <c:catAx>
        <c:axId val="139629295"/>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chemeClr val="dk1">
                    <a:lumMod val="75000"/>
                    <a:lumOff val="25000"/>
                  </a:schemeClr>
                </a:solidFill>
                <a:latin typeface="+mn-lt"/>
                <a:ea typeface="+mn-ea"/>
                <a:cs typeface="+mn-cs"/>
              </a:defRPr>
            </a:pPr>
            <a:endParaRPr lang="en-US"/>
          </a:p>
        </c:txPr>
        <c:crossAx val="139622639"/>
        <c:crosses val="autoZero"/>
        <c:auto val="1"/>
        <c:lblAlgn val="ctr"/>
        <c:lblOffset val="100"/>
        <c:noMultiLvlLbl val="0"/>
      </c:catAx>
      <c:valAx>
        <c:axId val="139622639"/>
        <c:scaling>
          <c:orientation val="minMax"/>
        </c:scaling>
        <c:delete val="0"/>
        <c:axPos val="l"/>
        <c:majorGridlines>
          <c:spPr>
            <a:ln w="9525" cap="flat" cmpd="sng" algn="ctr">
              <a:solidFill>
                <a:schemeClr val="dk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dk1">
                    <a:lumMod val="75000"/>
                    <a:lumOff val="25000"/>
                  </a:schemeClr>
                </a:solidFill>
                <a:latin typeface="+mn-lt"/>
                <a:ea typeface="+mn-ea"/>
                <a:cs typeface="+mn-cs"/>
              </a:defRPr>
            </a:pPr>
            <a:endParaRPr lang="en-US"/>
          </a:p>
        </c:txPr>
        <c:crossAx val="139629295"/>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Non-Drop Departure</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Sheet1!$A$2:$A$4</c:f>
              <c:strCache>
                <c:ptCount val="3"/>
                <c:pt idx="0">
                  <c:v>COHORT</c:v>
                </c:pt>
                <c:pt idx="1">
                  <c:v>NON-CTE</c:v>
                </c:pt>
                <c:pt idx="2">
                  <c:v>CTE</c:v>
                </c:pt>
              </c:strCache>
            </c:strRef>
          </c:cat>
          <c:val>
            <c:numRef>
              <c:f>Sheet1!$B$2:$B$4</c:f>
              <c:numCache>
                <c:formatCode>0.0%</c:formatCode>
                <c:ptCount val="3"/>
                <c:pt idx="0">
                  <c:v>7.8E-2</c:v>
                </c:pt>
                <c:pt idx="1">
                  <c:v>8.4000000000000005E-2</c:v>
                </c:pt>
                <c:pt idx="2">
                  <c:v>6.0999999999999999E-2</c:v>
                </c:pt>
              </c:numCache>
            </c:numRef>
          </c:val>
          <c:extLst>
            <c:ext xmlns:c16="http://schemas.microsoft.com/office/drawing/2014/chart" uri="{C3380CC4-5D6E-409C-BE32-E72D297353CC}">
              <c16:uniqueId val="{00000000-E441-4DB6-8E04-CD3E56A004C1}"/>
            </c:ext>
          </c:extLst>
        </c:ser>
        <c:ser>
          <c:idx val="1"/>
          <c:order val="1"/>
          <c:tx>
            <c:strRef>
              <c:f>Sheet1!$C$1</c:f>
              <c:strCache>
                <c:ptCount val="1"/>
                <c:pt idx="0">
                  <c:v>Continuing</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Sheet1!$A$2:$A$4</c:f>
              <c:strCache>
                <c:ptCount val="3"/>
                <c:pt idx="0">
                  <c:v>COHORT</c:v>
                </c:pt>
                <c:pt idx="1">
                  <c:v>NON-CTE</c:v>
                </c:pt>
                <c:pt idx="2">
                  <c:v>CTE</c:v>
                </c:pt>
              </c:strCache>
            </c:strRef>
          </c:cat>
          <c:val>
            <c:numRef>
              <c:f>Sheet1!$C$2:$C$4</c:f>
              <c:numCache>
                <c:formatCode>0.0%</c:formatCode>
                <c:ptCount val="3"/>
                <c:pt idx="0">
                  <c:v>0.1</c:v>
                </c:pt>
                <c:pt idx="1">
                  <c:v>0.10100000000000001</c:v>
                </c:pt>
                <c:pt idx="2">
                  <c:v>9.6000000000000002E-2</c:v>
                </c:pt>
              </c:numCache>
            </c:numRef>
          </c:val>
          <c:extLst>
            <c:ext xmlns:c16="http://schemas.microsoft.com/office/drawing/2014/chart" uri="{C3380CC4-5D6E-409C-BE32-E72D297353CC}">
              <c16:uniqueId val="{00000001-E441-4DB6-8E04-CD3E56A004C1}"/>
            </c:ext>
          </c:extLst>
        </c:ser>
        <c:ser>
          <c:idx val="2"/>
          <c:order val="2"/>
          <c:tx>
            <c:strRef>
              <c:f>Sheet1!$D$1</c:f>
              <c:strCache>
                <c:ptCount val="1"/>
                <c:pt idx="0">
                  <c:v>Dropout</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dLbls>
            <c:dLbl>
              <c:idx val="1"/>
              <c:layout>
                <c:manualLayout>
                  <c:x val="-1.7206767995411529E-2"/>
                  <c:y val="6.7980965329707058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E441-4DB6-8E04-CD3E56A004C1}"/>
                </c:ext>
              </c:extLst>
            </c:dLbl>
            <c:dLbl>
              <c:idx val="2"/>
              <c:layout>
                <c:manualLayout>
                  <c:x val="-3.4413535990823162E-2"/>
                  <c:y val="-2.039428959891224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E441-4DB6-8E04-CD3E56A004C1}"/>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Sheet1!$A$2:$A$4</c:f>
              <c:strCache>
                <c:ptCount val="3"/>
                <c:pt idx="0">
                  <c:v>COHORT</c:v>
                </c:pt>
                <c:pt idx="1">
                  <c:v>NON-CTE</c:v>
                </c:pt>
                <c:pt idx="2">
                  <c:v>CTE</c:v>
                </c:pt>
              </c:strCache>
            </c:strRef>
          </c:cat>
          <c:val>
            <c:numRef>
              <c:f>Sheet1!$D$2:$D$4</c:f>
              <c:numCache>
                <c:formatCode>0.0%</c:formatCode>
                <c:ptCount val="3"/>
                <c:pt idx="0">
                  <c:v>0.16600000000000001</c:v>
                </c:pt>
                <c:pt idx="1">
                  <c:v>0.17399999999999999</c:v>
                </c:pt>
                <c:pt idx="2">
                  <c:v>0.14199999999999999</c:v>
                </c:pt>
              </c:numCache>
            </c:numRef>
          </c:val>
          <c:extLst>
            <c:ext xmlns:c16="http://schemas.microsoft.com/office/drawing/2014/chart" uri="{C3380CC4-5D6E-409C-BE32-E72D297353CC}">
              <c16:uniqueId val="{00000002-E441-4DB6-8E04-CD3E56A004C1}"/>
            </c:ext>
          </c:extLst>
        </c:ser>
        <c:ser>
          <c:idx val="3"/>
          <c:order val="3"/>
          <c:tx>
            <c:strRef>
              <c:f>Sheet1!$E$1</c:f>
              <c:strCache>
                <c:ptCount val="1"/>
                <c:pt idx="0">
                  <c:v>Graduate</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dLbls>
            <c:dLbl>
              <c:idx val="0"/>
              <c:layout>
                <c:manualLayout>
                  <c:x val="8.6033839977057644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E441-4DB6-8E04-CD3E56A004C1}"/>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Sheet1!$A$2:$A$4</c:f>
              <c:strCache>
                <c:ptCount val="3"/>
                <c:pt idx="0">
                  <c:v>COHORT</c:v>
                </c:pt>
                <c:pt idx="1">
                  <c:v>NON-CTE</c:v>
                </c:pt>
                <c:pt idx="2">
                  <c:v>CTE</c:v>
                </c:pt>
              </c:strCache>
            </c:strRef>
          </c:cat>
          <c:val>
            <c:numRef>
              <c:f>Sheet1!$E$2:$E$4</c:f>
              <c:numCache>
                <c:formatCode>0.0%</c:formatCode>
                <c:ptCount val="3"/>
                <c:pt idx="0">
                  <c:v>0.65600000000000003</c:v>
                </c:pt>
                <c:pt idx="1">
                  <c:v>0.64</c:v>
                </c:pt>
                <c:pt idx="2">
                  <c:v>0.70099999999999996</c:v>
                </c:pt>
              </c:numCache>
            </c:numRef>
          </c:val>
          <c:extLst>
            <c:ext xmlns:c16="http://schemas.microsoft.com/office/drawing/2014/chart" uri="{C3380CC4-5D6E-409C-BE32-E72D297353CC}">
              <c16:uniqueId val="{00000003-E441-4DB6-8E04-CD3E56A004C1}"/>
            </c:ext>
          </c:extLst>
        </c:ser>
        <c:dLbls>
          <c:showLegendKey val="0"/>
          <c:showVal val="0"/>
          <c:showCatName val="0"/>
          <c:showSerName val="0"/>
          <c:showPercent val="0"/>
          <c:showBubbleSize val="0"/>
        </c:dLbls>
        <c:gapWidth val="65"/>
        <c:shape val="box"/>
        <c:axId val="1551598816"/>
        <c:axId val="1551600480"/>
        <c:axId val="0"/>
      </c:bar3DChart>
      <c:catAx>
        <c:axId val="155159881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chemeClr val="dk1">
                    <a:lumMod val="75000"/>
                    <a:lumOff val="25000"/>
                  </a:schemeClr>
                </a:solidFill>
                <a:latin typeface="+mn-lt"/>
                <a:ea typeface="+mn-ea"/>
                <a:cs typeface="+mn-cs"/>
              </a:defRPr>
            </a:pPr>
            <a:endParaRPr lang="en-US"/>
          </a:p>
        </c:txPr>
        <c:crossAx val="1551600480"/>
        <c:crosses val="autoZero"/>
        <c:auto val="1"/>
        <c:lblAlgn val="ctr"/>
        <c:lblOffset val="100"/>
        <c:noMultiLvlLbl val="0"/>
      </c:catAx>
      <c:valAx>
        <c:axId val="1551600480"/>
        <c:scaling>
          <c:orientation val="minMax"/>
        </c:scaling>
        <c:delete val="0"/>
        <c:axPos val="l"/>
        <c:majorGridlines>
          <c:spPr>
            <a:ln w="9525" cap="flat" cmpd="sng" algn="ctr">
              <a:solidFill>
                <a:schemeClr val="dk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dk1">
                    <a:lumMod val="75000"/>
                    <a:lumOff val="25000"/>
                  </a:schemeClr>
                </a:solidFill>
                <a:latin typeface="+mn-lt"/>
                <a:ea typeface="+mn-ea"/>
                <a:cs typeface="+mn-cs"/>
              </a:defRPr>
            </a:pPr>
            <a:endParaRPr lang="en-US"/>
          </a:p>
        </c:txPr>
        <c:crossAx val="1551598816"/>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Continuing</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strRef>
              <c:f>Sheet1!$A$2:$A$4</c:f>
              <c:strCache>
                <c:ptCount val="3"/>
                <c:pt idx="0">
                  <c:v>Cohort</c:v>
                </c:pt>
                <c:pt idx="1">
                  <c:v>Non-CTE</c:v>
                </c:pt>
                <c:pt idx="2">
                  <c:v>CTE</c:v>
                </c:pt>
              </c:strCache>
            </c:strRef>
          </c:cat>
          <c:val>
            <c:numRef>
              <c:f>Sheet1!$B$2:$B$4</c:f>
              <c:numCache>
                <c:formatCode>0.0%</c:formatCode>
                <c:ptCount val="3"/>
                <c:pt idx="0">
                  <c:v>0.108</c:v>
                </c:pt>
                <c:pt idx="1">
                  <c:v>0.11</c:v>
                </c:pt>
                <c:pt idx="2">
                  <c:v>0.10199999999999999</c:v>
                </c:pt>
              </c:numCache>
            </c:numRef>
          </c:val>
          <c:extLst>
            <c:ext xmlns:c16="http://schemas.microsoft.com/office/drawing/2014/chart" uri="{C3380CC4-5D6E-409C-BE32-E72D297353CC}">
              <c16:uniqueId val="{00000000-43C1-46CE-9E9B-CCCA8DB5DF58}"/>
            </c:ext>
          </c:extLst>
        </c:ser>
        <c:ser>
          <c:idx val="1"/>
          <c:order val="1"/>
          <c:tx>
            <c:strRef>
              <c:f>Sheet1!$C$1</c:f>
              <c:strCache>
                <c:ptCount val="1"/>
                <c:pt idx="0">
                  <c:v>Dropout</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dLbl>
              <c:idx val="1"/>
              <c:layout>
                <c:manualLayout>
                  <c:x val="-8.6655112651646445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43C1-46CE-9E9B-CCCA8DB5DF58}"/>
                </c:ext>
              </c:extLst>
            </c:dLbl>
            <c:dLbl>
              <c:idx val="2"/>
              <c:layout>
                <c:manualLayout>
                  <c:x val="-3.7550548815713458E-2"/>
                  <c:y val="-6.8259385665529011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3C1-46CE-9E9B-CCCA8DB5DF58}"/>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Sheet1!$A$2:$A$4</c:f>
              <c:strCache>
                <c:ptCount val="3"/>
                <c:pt idx="0">
                  <c:v>Cohort</c:v>
                </c:pt>
                <c:pt idx="1">
                  <c:v>Non-CTE</c:v>
                </c:pt>
                <c:pt idx="2">
                  <c:v>CTE</c:v>
                </c:pt>
              </c:strCache>
            </c:strRef>
          </c:cat>
          <c:val>
            <c:numRef>
              <c:f>Sheet1!$C$2:$C$4</c:f>
              <c:numCache>
                <c:formatCode>0.0%</c:formatCode>
                <c:ptCount val="3"/>
                <c:pt idx="0">
                  <c:v>0.18</c:v>
                </c:pt>
                <c:pt idx="1">
                  <c:v>0.19</c:v>
                </c:pt>
                <c:pt idx="2">
                  <c:v>0.152</c:v>
                </c:pt>
              </c:numCache>
            </c:numRef>
          </c:val>
          <c:extLst>
            <c:ext xmlns:c16="http://schemas.microsoft.com/office/drawing/2014/chart" uri="{C3380CC4-5D6E-409C-BE32-E72D297353CC}">
              <c16:uniqueId val="{00000001-43C1-46CE-9E9B-CCCA8DB5DF58}"/>
            </c:ext>
          </c:extLst>
        </c:ser>
        <c:ser>
          <c:idx val="2"/>
          <c:order val="2"/>
          <c:tx>
            <c:strRef>
              <c:f>Sheet1!$D$1</c:f>
              <c:strCache>
                <c:ptCount val="1"/>
                <c:pt idx="0">
                  <c:v>Graduate</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Sheet1!$A$2:$A$4</c:f>
              <c:strCache>
                <c:ptCount val="3"/>
                <c:pt idx="0">
                  <c:v>Cohort</c:v>
                </c:pt>
                <c:pt idx="1">
                  <c:v>Non-CTE</c:v>
                </c:pt>
                <c:pt idx="2">
                  <c:v>CTE</c:v>
                </c:pt>
              </c:strCache>
            </c:strRef>
          </c:cat>
          <c:val>
            <c:numRef>
              <c:f>Sheet1!$D$2:$D$4</c:f>
              <c:numCache>
                <c:formatCode>0.0%</c:formatCode>
                <c:ptCount val="3"/>
                <c:pt idx="0">
                  <c:v>0.71199999999999997</c:v>
                </c:pt>
                <c:pt idx="1">
                  <c:v>0.69899999999999995</c:v>
                </c:pt>
                <c:pt idx="2">
                  <c:v>0.747</c:v>
                </c:pt>
              </c:numCache>
            </c:numRef>
          </c:val>
          <c:extLst>
            <c:ext xmlns:c16="http://schemas.microsoft.com/office/drawing/2014/chart" uri="{C3380CC4-5D6E-409C-BE32-E72D297353CC}">
              <c16:uniqueId val="{00000002-43C1-46CE-9E9B-CCCA8DB5DF58}"/>
            </c:ext>
          </c:extLst>
        </c:ser>
        <c:dLbls>
          <c:showLegendKey val="0"/>
          <c:showVal val="0"/>
          <c:showCatName val="0"/>
          <c:showSerName val="0"/>
          <c:showPercent val="0"/>
          <c:showBubbleSize val="0"/>
        </c:dLbls>
        <c:gapWidth val="65"/>
        <c:shape val="box"/>
        <c:axId val="1557451408"/>
        <c:axId val="1557444752"/>
        <c:axId val="0"/>
      </c:bar3DChart>
      <c:catAx>
        <c:axId val="155745140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800" b="1" i="0" u="none" strike="noStrike" kern="1200" cap="all" baseline="0">
                <a:solidFill>
                  <a:schemeClr val="dk1">
                    <a:lumMod val="75000"/>
                    <a:lumOff val="25000"/>
                  </a:schemeClr>
                </a:solidFill>
                <a:latin typeface="+mn-lt"/>
                <a:ea typeface="+mn-ea"/>
                <a:cs typeface="+mn-cs"/>
              </a:defRPr>
            </a:pPr>
            <a:endParaRPr lang="en-US"/>
          </a:p>
        </c:txPr>
        <c:crossAx val="1557444752"/>
        <c:crosses val="autoZero"/>
        <c:auto val="1"/>
        <c:lblAlgn val="ctr"/>
        <c:lblOffset val="100"/>
        <c:noMultiLvlLbl val="0"/>
      </c:catAx>
      <c:valAx>
        <c:axId val="1557444752"/>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dk1">
                    <a:lumMod val="75000"/>
                    <a:lumOff val="25000"/>
                  </a:schemeClr>
                </a:solidFill>
                <a:latin typeface="+mn-lt"/>
                <a:ea typeface="+mn-ea"/>
                <a:cs typeface="+mn-cs"/>
              </a:defRPr>
            </a:pPr>
            <a:endParaRPr lang="en-US"/>
          </a:p>
        </c:txPr>
        <c:crossAx val="1557451408"/>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Sheet1!$B$1</c:f>
              <c:strCache>
                <c:ptCount val="1"/>
                <c:pt idx="0">
                  <c:v>Non-CTE</c:v>
                </c:pt>
              </c:strCache>
            </c:strRef>
          </c:tx>
          <c:spPr>
            <a:ln w="38100" cap="flat" cmpd="dbl" algn="ctr">
              <a:solidFill>
                <a:schemeClr val="accent1"/>
              </a:solidFill>
              <a:miter lim="800000"/>
            </a:ln>
            <a:effectLst/>
          </c:spPr>
          <c:marker>
            <c:symbol val="none"/>
          </c:marker>
          <c:dLbls>
            <c:dLbl>
              <c:idx val="1"/>
              <c:layout>
                <c:manualLayout>
                  <c:x val="-1.7426662794074989E-2"/>
                  <c:y val="4.397215097105166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499-4DC0-92CF-F36795A9D971}"/>
                </c:ext>
              </c:extLst>
            </c:dLbl>
            <c:dLbl>
              <c:idx val="2"/>
              <c:layout>
                <c:manualLayout>
                  <c:x val="-2.9044437990124999E-2"/>
                  <c:y val="5.862953462806875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499-4DC0-92CF-F36795A9D971}"/>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Sheet1!$A$2:$A$5</c:f>
              <c:strCache>
                <c:ptCount val="4"/>
                <c:pt idx="0">
                  <c:v>2012-13</c:v>
                </c:pt>
                <c:pt idx="1">
                  <c:v>2013-14</c:v>
                </c:pt>
                <c:pt idx="2">
                  <c:v>2014-15</c:v>
                </c:pt>
                <c:pt idx="3">
                  <c:v>2015-16</c:v>
                </c:pt>
              </c:strCache>
            </c:strRef>
          </c:cat>
          <c:val>
            <c:numRef>
              <c:f>Sheet1!$B$2:$B$5</c:f>
              <c:numCache>
                <c:formatCode>0.0</c:formatCode>
                <c:ptCount val="4"/>
                <c:pt idx="0">
                  <c:v>6</c:v>
                </c:pt>
                <c:pt idx="1">
                  <c:v>11.1</c:v>
                </c:pt>
                <c:pt idx="2">
                  <c:v>16.3</c:v>
                </c:pt>
                <c:pt idx="3">
                  <c:v>22.4</c:v>
                </c:pt>
              </c:numCache>
            </c:numRef>
          </c:val>
          <c:smooth val="0"/>
          <c:extLst>
            <c:ext xmlns:c16="http://schemas.microsoft.com/office/drawing/2014/chart" uri="{C3380CC4-5D6E-409C-BE32-E72D297353CC}">
              <c16:uniqueId val="{00000000-B3D6-4B3C-B018-66AB6F0D6F10}"/>
            </c:ext>
          </c:extLst>
        </c:ser>
        <c:ser>
          <c:idx val="1"/>
          <c:order val="1"/>
          <c:tx>
            <c:strRef>
              <c:f>Sheet1!$C$1</c:f>
              <c:strCache>
                <c:ptCount val="1"/>
                <c:pt idx="0">
                  <c:v>CTE</c:v>
                </c:pt>
              </c:strCache>
            </c:strRef>
          </c:tx>
          <c:spPr>
            <a:ln w="38100" cap="flat" cmpd="dbl" algn="ctr">
              <a:solidFill>
                <a:schemeClr val="accent2"/>
              </a:solidFill>
              <a:miter lim="800000"/>
            </a:ln>
            <a:effectLst/>
          </c:spPr>
          <c:marker>
            <c:symbol val="none"/>
          </c:marker>
          <c:dLbls>
            <c:dLbl>
              <c:idx val="0"/>
              <c:layout>
                <c:manualLayout>
                  <c:x val="-2.6139994191112428E-2"/>
                  <c:y val="-0.10260168559912056"/>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C499-4DC0-92CF-F36795A9D971}"/>
                </c:ext>
              </c:extLst>
            </c:dLbl>
            <c:dLbl>
              <c:idx val="1"/>
              <c:layout>
                <c:manualLayout>
                  <c:x val="-5.8088875980249781E-3"/>
                  <c:y val="-9.52729937706119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C499-4DC0-92CF-F36795A9D971}"/>
                </c:ext>
              </c:extLst>
            </c:dLbl>
            <c:dLbl>
              <c:idx val="2"/>
              <c:layout>
                <c:manualLayout>
                  <c:x val="-3.4853325588149867E-2"/>
                  <c:y val="-9.52729937706119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499-4DC0-92CF-F36795A9D971}"/>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Sheet1!$A$2:$A$5</c:f>
              <c:strCache>
                <c:ptCount val="4"/>
                <c:pt idx="0">
                  <c:v>2012-13</c:v>
                </c:pt>
                <c:pt idx="1">
                  <c:v>2013-14</c:v>
                </c:pt>
                <c:pt idx="2">
                  <c:v>2014-15</c:v>
                </c:pt>
                <c:pt idx="3">
                  <c:v>2015-16</c:v>
                </c:pt>
              </c:strCache>
            </c:strRef>
          </c:cat>
          <c:val>
            <c:numRef>
              <c:f>Sheet1!$C$2:$C$5</c:f>
              <c:numCache>
                <c:formatCode>0.0</c:formatCode>
                <c:ptCount val="4"/>
                <c:pt idx="0">
                  <c:v>6.8</c:v>
                </c:pt>
                <c:pt idx="1">
                  <c:v>12.6</c:v>
                </c:pt>
                <c:pt idx="2">
                  <c:v>18.7</c:v>
                </c:pt>
                <c:pt idx="3">
                  <c:v>25.1</c:v>
                </c:pt>
              </c:numCache>
            </c:numRef>
          </c:val>
          <c:smooth val="0"/>
          <c:extLst>
            <c:ext xmlns:c16="http://schemas.microsoft.com/office/drawing/2014/chart" uri="{C3380CC4-5D6E-409C-BE32-E72D297353CC}">
              <c16:uniqueId val="{00000001-B3D6-4B3C-B018-66AB6F0D6F10}"/>
            </c:ext>
          </c:extLst>
        </c:ser>
        <c:dLbls>
          <c:showLegendKey val="0"/>
          <c:showVal val="0"/>
          <c:showCatName val="0"/>
          <c:showSerName val="0"/>
          <c:showPercent val="0"/>
          <c:showBubbleSize val="0"/>
        </c:dLbls>
        <c:smooth val="0"/>
        <c:axId val="1776961040"/>
        <c:axId val="1776961872"/>
      </c:lineChart>
      <c:catAx>
        <c:axId val="1776961040"/>
        <c:scaling>
          <c:orientation val="minMax"/>
        </c:scaling>
        <c:delete val="0"/>
        <c:axPos val="b"/>
        <c:majorGridlines>
          <c:spPr>
            <a:ln w="9525" cap="flat" cmpd="sng" algn="ctr">
              <a:solidFill>
                <a:schemeClr val="tx1">
                  <a:lumMod val="15000"/>
                  <a:lumOff val="85000"/>
                  <a:alpha val="32000"/>
                </a:schemeClr>
              </a:solidFill>
              <a:round/>
            </a:ln>
            <a:effectLst/>
          </c:spPr>
        </c:majorGridlines>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776961872"/>
        <c:crosses val="autoZero"/>
        <c:auto val="1"/>
        <c:lblAlgn val="ctr"/>
        <c:lblOffset val="100"/>
        <c:noMultiLvlLbl val="0"/>
      </c:catAx>
      <c:valAx>
        <c:axId val="1776961872"/>
        <c:scaling>
          <c:orientation val="minMax"/>
        </c:scaling>
        <c:delete val="0"/>
        <c:axPos val="l"/>
        <c:majorGridlines>
          <c:spPr>
            <a:ln w="9525" cap="flat" cmpd="sng" algn="ctr">
              <a:solidFill>
                <a:schemeClr val="tx1">
                  <a:lumMod val="15000"/>
                  <a:lumOff val="85000"/>
                  <a:alpha val="32000"/>
                </a:schemeClr>
              </a:solidFill>
              <a:round/>
            </a:ln>
            <a:effectLst/>
          </c:spPr>
        </c:majorGridlines>
        <c:numFmt formatCode="0.0"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776961040"/>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gradFill>
      <a:gsLst>
        <a:gs pos="3000">
          <a:schemeClr val="accent1">
            <a:lumMod val="5000"/>
            <a:lumOff val="95000"/>
          </a:schemeClr>
        </a:gs>
        <a:gs pos="38000">
          <a:schemeClr val="bg1">
            <a:lumMod val="85000"/>
          </a:schemeClr>
        </a:gs>
        <a:gs pos="49000">
          <a:schemeClr val="bg1">
            <a:lumMod val="85000"/>
          </a:schemeClr>
        </a:gs>
        <a:gs pos="96000">
          <a:schemeClr val="bg1">
            <a:lumMod val="75000"/>
          </a:schemeClr>
        </a:gs>
      </a:gsLst>
      <a:lin ang="5400000" scaled="1"/>
    </a:gradFill>
    <a:ln w="9525" cap="flat" cmpd="sng" algn="ctr">
      <a:solidFill>
        <a:schemeClr val="bg1">
          <a:lumMod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Sheet1!$B$1</c:f>
              <c:strCache>
                <c:ptCount val="1"/>
                <c:pt idx="0">
                  <c:v>Non-CTE</c:v>
                </c:pt>
              </c:strCache>
            </c:strRef>
          </c:tx>
          <c:spPr>
            <a:ln w="38100" cap="flat" cmpd="dbl" algn="ctr">
              <a:solidFill>
                <a:schemeClr val="accent1"/>
              </a:solidFill>
              <a:miter lim="800000"/>
            </a:ln>
            <a:effectLst/>
          </c:spPr>
          <c:marker>
            <c:symbol val="none"/>
          </c:marker>
          <c:dLbls>
            <c:dLbl>
              <c:idx val="1"/>
              <c:layout>
                <c:manualLayout>
                  <c:x val="-1.7426662794074989E-2"/>
                  <c:y val="4.397215097105166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D6C3-4C25-8629-31331F0A4C6B}"/>
                </c:ext>
              </c:extLst>
            </c:dLbl>
            <c:dLbl>
              <c:idx val="2"/>
              <c:layout>
                <c:manualLayout>
                  <c:x val="-2.9044437990124999E-2"/>
                  <c:y val="5.862953462806875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D6C3-4C25-8629-31331F0A4C6B}"/>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Sheet1!$A$2:$A$5</c:f>
              <c:strCache>
                <c:ptCount val="4"/>
                <c:pt idx="0">
                  <c:v>2012-13</c:v>
                </c:pt>
                <c:pt idx="1">
                  <c:v>2013-14</c:v>
                </c:pt>
                <c:pt idx="2">
                  <c:v>2014-15</c:v>
                </c:pt>
                <c:pt idx="3">
                  <c:v>2015-16</c:v>
                </c:pt>
              </c:strCache>
            </c:strRef>
          </c:cat>
          <c:val>
            <c:numRef>
              <c:f>Sheet1!$B$2:$B$5</c:f>
              <c:numCache>
                <c:formatCode>0.0</c:formatCode>
                <c:ptCount val="4"/>
                <c:pt idx="0">
                  <c:v>2.4</c:v>
                </c:pt>
                <c:pt idx="1">
                  <c:v>5</c:v>
                </c:pt>
                <c:pt idx="2">
                  <c:v>8.5</c:v>
                </c:pt>
                <c:pt idx="3">
                  <c:v>12.7</c:v>
                </c:pt>
              </c:numCache>
            </c:numRef>
          </c:val>
          <c:smooth val="0"/>
          <c:extLst>
            <c:ext xmlns:c16="http://schemas.microsoft.com/office/drawing/2014/chart" uri="{C3380CC4-5D6E-409C-BE32-E72D297353CC}">
              <c16:uniqueId val="{00000002-D6C3-4C25-8629-31331F0A4C6B}"/>
            </c:ext>
          </c:extLst>
        </c:ser>
        <c:ser>
          <c:idx val="1"/>
          <c:order val="1"/>
          <c:tx>
            <c:strRef>
              <c:f>Sheet1!$C$1</c:f>
              <c:strCache>
                <c:ptCount val="1"/>
                <c:pt idx="0">
                  <c:v>CTE</c:v>
                </c:pt>
              </c:strCache>
            </c:strRef>
          </c:tx>
          <c:spPr>
            <a:ln w="38100" cap="flat" cmpd="dbl" algn="ctr">
              <a:solidFill>
                <a:schemeClr val="accent2"/>
              </a:solidFill>
              <a:miter lim="800000"/>
            </a:ln>
            <a:effectLst/>
          </c:spPr>
          <c:marker>
            <c:symbol val="none"/>
          </c:marker>
          <c:dLbls>
            <c:dLbl>
              <c:idx val="0"/>
              <c:layout>
                <c:manualLayout>
                  <c:x val="-2.6139994191112428E-2"/>
                  <c:y val="-0.10260168559912056"/>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D6C3-4C25-8629-31331F0A4C6B}"/>
                </c:ext>
              </c:extLst>
            </c:dLbl>
            <c:dLbl>
              <c:idx val="1"/>
              <c:layout>
                <c:manualLayout>
                  <c:x val="-5.8088875980249781E-3"/>
                  <c:y val="-9.52729937706119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D6C3-4C25-8629-31331F0A4C6B}"/>
                </c:ext>
              </c:extLst>
            </c:dLbl>
            <c:dLbl>
              <c:idx val="2"/>
              <c:layout>
                <c:manualLayout>
                  <c:x val="-3.4853325588149867E-2"/>
                  <c:y val="-9.52729937706119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D6C3-4C25-8629-31331F0A4C6B}"/>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Sheet1!$A$2:$A$5</c:f>
              <c:strCache>
                <c:ptCount val="4"/>
                <c:pt idx="0">
                  <c:v>2012-13</c:v>
                </c:pt>
                <c:pt idx="1">
                  <c:v>2013-14</c:v>
                </c:pt>
                <c:pt idx="2">
                  <c:v>2014-15</c:v>
                </c:pt>
                <c:pt idx="3">
                  <c:v>2015-16</c:v>
                </c:pt>
              </c:strCache>
            </c:strRef>
          </c:cat>
          <c:val>
            <c:numRef>
              <c:f>Sheet1!$C$2:$C$5</c:f>
              <c:numCache>
                <c:formatCode>0.0</c:formatCode>
                <c:ptCount val="4"/>
                <c:pt idx="0">
                  <c:v>3</c:v>
                </c:pt>
                <c:pt idx="1">
                  <c:v>6.2</c:v>
                </c:pt>
                <c:pt idx="2">
                  <c:v>10</c:v>
                </c:pt>
                <c:pt idx="3">
                  <c:v>15</c:v>
                </c:pt>
              </c:numCache>
            </c:numRef>
          </c:val>
          <c:smooth val="0"/>
          <c:extLst>
            <c:ext xmlns:c16="http://schemas.microsoft.com/office/drawing/2014/chart" uri="{C3380CC4-5D6E-409C-BE32-E72D297353CC}">
              <c16:uniqueId val="{00000006-D6C3-4C25-8629-31331F0A4C6B}"/>
            </c:ext>
          </c:extLst>
        </c:ser>
        <c:dLbls>
          <c:showLegendKey val="0"/>
          <c:showVal val="0"/>
          <c:showCatName val="0"/>
          <c:showSerName val="0"/>
          <c:showPercent val="0"/>
          <c:showBubbleSize val="0"/>
        </c:dLbls>
        <c:smooth val="0"/>
        <c:axId val="1776961040"/>
        <c:axId val="1776961872"/>
      </c:lineChart>
      <c:catAx>
        <c:axId val="1776961040"/>
        <c:scaling>
          <c:orientation val="minMax"/>
        </c:scaling>
        <c:delete val="0"/>
        <c:axPos val="b"/>
        <c:majorGridlines>
          <c:spPr>
            <a:ln w="9525" cap="flat" cmpd="sng" algn="ctr">
              <a:solidFill>
                <a:schemeClr val="tx1">
                  <a:lumMod val="15000"/>
                  <a:lumOff val="85000"/>
                  <a:alpha val="32000"/>
                </a:schemeClr>
              </a:solidFill>
              <a:round/>
            </a:ln>
            <a:effectLst/>
          </c:spPr>
        </c:majorGridlines>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776961872"/>
        <c:crosses val="autoZero"/>
        <c:auto val="1"/>
        <c:lblAlgn val="ctr"/>
        <c:lblOffset val="100"/>
        <c:noMultiLvlLbl val="0"/>
      </c:catAx>
      <c:valAx>
        <c:axId val="1776961872"/>
        <c:scaling>
          <c:orientation val="minMax"/>
        </c:scaling>
        <c:delete val="0"/>
        <c:axPos val="l"/>
        <c:majorGridlines>
          <c:spPr>
            <a:ln w="9525" cap="flat" cmpd="sng" algn="ctr">
              <a:solidFill>
                <a:schemeClr val="tx1">
                  <a:lumMod val="15000"/>
                  <a:lumOff val="85000"/>
                  <a:alpha val="32000"/>
                </a:schemeClr>
              </a:solidFill>
              <a:round/>
            </a:ln>
            <a:effectLst/>
          </c:spPr>
        </c:majorGridlines>
        <c:numFmt formatCode="0.0"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776961040"/>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gradFill>
      <a:gsLst>
        <a:gs pos="3000">
          <a:schemeClr val="accent1">
            <a:lumMod val="5000"/>
            <a:lumOff val="95000"/>
          </a:schemeClr>
        </a:gs>
        <a:gs pos="38000">
          <a:schemeClr val="bg1">
            <a:lumMod val="85000"/>
          </a:schemeClr>
        </a:gs>
        <a:gs pos="49000">
          <a:schemeClr val="bg1">
            <a:lumMod val="85000"/>
          </a:schemeClr>
        </a:gs>
        <a:gs pos="96000">
          <a:schemeClr val="bg1">
            <a:lumMod val="75000"/>
          </a:schemeClr>
        </a:gs>
      </a:gsLst>
      <a:lin ang="5400000" scaled="1"/>
    </a:gradFill>
    <a:ln w="9525" cap="flat" cmpd="sng" algn="ctr">
      <a:solidFill>
        <a:schemeClr val="bg1">
          <a:lumMod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37">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38100" cap="flat" cmpd="dbl" algn="ctr">
        <a:solidFill>
          <a:schemeClr val="phClr"/>
        </a:solidFill>
        <a:miter lim="800000"/>
      </a:ln>
    </cs:spPr>
  </cs:dataPointLine>
  <cs:dataPointMarker>
    <cs:lnRef idx="0">
      <cs:styleClr val="auto"/>
    </cs:lnRef>
    <cs:fillRef idx="0">
      <cs:styleClr val="auto"/>
    </cs:fillRef>
    <cs:effectRef idx="0"/>
    <cs:fontRef idx="minor">
      <a:schemeClr val="tx1"/>
    </cs:fontRef>
    <cs:spPr>
      <a:solidFill>
        <a:schemeClr val="phClr"/>
      </a:solidFill>
      <a:ln w="9525" cap="flat" cmpd="sng" algn="ctr">
        <a:solidFill>
          <a:schemeClr val="lt1"/>
        </a:solidFill>
        <a:round/>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ln>
    </cs:spPr>
  </cs:dropLine>
  <cs:errorBar>
    <cs:lnRef idx="0"/>
    <cs:fillRef idx="0"/>
    <cs:effectRef idx="0"/>
    <cs:fontRef idx="minor">
      <a:schemeClr val="tx1"/>
    </cs:fontRef>
    <cs:spPr>
      <a:ln w="9525">
        <a:solidFill>
          <a:schemeClr val="tx1">
            <a:lumMod val="65000"/>
            <a:lumOff val="35000"/>
          </a:schemeClr>
        </a:solidFill>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alpha val="32000"/>
          </a:schemeClr>
        </a:solidFill>
        <a:round/>
      </a:ln>
    </cs:spPr>
  </cs:gridlineMajor>
  <cs:gridlineMinor>
    <cs:lnRef idx="0"/>
    <cs:fillRef idx="0"/>
    <cs:effectRef idx="0"/>
    <cs:fontRef idx="minor">
      <a:schemeClr val="tx1"/>
    </cs:fontRef>
    <cs:spPr>
      <a:ln>
        <a:solidFill>
          <a:schemeClr val="tx1">
            <a:lumMod val="5000"/>
            <a:lumOff val="95000"/>
            <a:alpha val="32000"/>
          </a:schemeClr>
        </a:solidFill>
      </a:ln>
    </cs:spPr>
  </cs:gridlineMinor>
  <cs:hiLoLine>
    <cs:lnRef idx="0"/>
    <cs:fillRef idx="0"/>
    <cs:effectRef idx="0"/>
    <cs:fontRef idx="minor">
      <a:schemeClr val="tx1"/>
    </cs:fontRef>
    <cs:spPr>
      <a:ln w="9525">
        <a:solidFill>
          <a:schemeClr val="tx1"/>
        </a:solidFill>
      </a:ln>
    </cs:spPr>
  </cs:hiLoLine>
  <cs:leaderLine>
    <cs:lnRef idx="0"/>
    <cs:fillRef idx="0"/>
    <cs:effectRef idx="0"/>
    <cs:fontRef idx="minor">
      <a:schemeClr val="tx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spPr>
      <a:ln w="3175" cap="flat" cmpd="sng" algn="ctr">
        <a:solidFill>
          <a:schemeClr val="tx1">
            <a:lumMod val="15000"/>
            <a:lumOff val="85000"/>
          </a:schemeClr>
        </a:solidFill>
        <a:round/>
        <a:tailEnd type="none" w="med" len="lg"/>
      </a:ln>
    </cs:spPr>
    <cs:defRPr sz="900" kern="1200"/>
  </cs:seriesAxis>
  <cs:seriesLine>
    <cs:lnRef idx="0"/>
    <cs:fillRef idx="0"/>
    <cs:effectRef idx="0"/>
    <cs:fontRef idx="minor">
      <a:schemeClr val="tx1"/>
    </cs:fontRef>
    <cs:spPr>
      <a:ln w="9525">
        <a:solidFill>
          <a:schemeClr val="tx1">
            <a:lumMod val="35000"/>
            <a:lumOff val="65000"/>
          </a:schemeClr>
        </a:solidFill>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tx1"/>
    </cs:fontRef>
    <cs:spPr>
      <a:ln w="12700" cap="rnd"/>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valueAxis>
  <cs:wall>
    <cs:lnRef idx="0"/>
    <cs:fillRef idx="0"/>
    <cs:effectRef idx="0"/>
    <cs:fontRef idx="minor">
      <a:schemeClr val="tx1"/>
    </cs:fontRef>
  </cs:wall>
</cs:chartStyle>
</file>

<file path=word/charts/style9.xml><?xml version="1.0" encoding="utf-8"?>
<cs:chartStyle xmlns:cs="http://schemas.microsoft.com/office/drawing/2012/chartStyle" xmlns:a="http://schemas.openxmlformats.org/drawingml/2006/main" id="237">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38100" cap="flat" cmpd="dbl" algn="ctr">
        <a:solidFill>
          <a:schemeClr val="phClr"/>
        </a:solidFill>
        <a:miter lim="800000"/>
      </a:ln>
    </cs:spPr>
  </cs:dataPointLine>
  <cs:dataPointMarker>
    <cs:lnRef idx="0">
      <cs:styleClr val="auto"/>
    </cs:lnRef>
    <cs:fillRef idx="0">
      <cs:styleClr val="auto"/>
    </cs:fillRef>
    <cs:effectRef idx="0"/>
    <cs:fontRef idx="minor">
      <a:schemeClr val="tx1"/>
    </cs:fontRef>
    <cs:spPr>
      <a:solidFill>
        <a:schemeClr val="phClr"/>
      </a:solidFill>
      <a:ln w="9525" cap="flat" cmpd="sng" algn="ctr">
        <a:solidFill>
          <a:schemeClr val="lt1"/>
        </a:solidFill>
        <a:round/>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ln>
    </cs:spPr>
  </cs:dropLine>
  <cs:errorBar>
    <cs:lnRef idx="0"/>
    <cs:fillRef idx="0"/>
    <cs:effectRef idx="0"/>
    <cs:fontRef idx="minor">
      <a:schemeClr val="tx1"/>
    </cs:fontRef>
    <cs:spPr>
      <a:ln w="9525">
        <a:solidFill>
          <a:schemeClr val="tx1">
            <a:lumMod val="65000"/>
            <a:lumOff val="35000"/>
          </a:schemeClr>
        </a:solidFill>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alpha val="32000"/>
          </a:schemeClr>
        </a:solidFill>
        <a:round/>
      </a:ln>
    </cs:spPr>
  </cs:gridlineMajor>
  <cs:gridlineMinor>
    <cs:lnRef idx="0"/>
    <cs:fillRef idx="0"/>
    <cs:effectRef idx="0"/>
    <cs:fontRef idx="minor">
      <a:schemeClr val="tx1"/>
    </cs:fontRef>
    <cs:spPr>
      <a:ln>
        <a:solidFill>
          <a:schemeClr val="tx1">
            <a:lumMod val="5000"/>
            <a:lumOff val="95000"/>
            <a:alpha val="32000"/>
          </a:schemeClr>
        </a:solidFill>
      </a:ln>
    </cs:spPr>
  </cs:gridlineMinor>
  <cs:hiLoLine>
    <cs:lnRef idx="0"/>
    <cs:fillRef idx="0"/>
    <cs:effectRef idx="0"/>
    <cs:fontRef idx="minor">
      <a:schemeClr val="tx1"/>
    </cs:fontRef>
    <cs:spPr>
      <a:ln w="9525">
        <a:solidFill>
          <a:schemeClr val="tx1"/>
        </a:solidFill>
      </a:ln>
    </cs:spPr>
  </cs:hiLoLine>
  <cs:leaderLine>
    <cs:lnRef idx="0"/>
    <cs:fillRef idx="0"/>
    <cs:effectRef idx="0"/>
    <cs:fontRef idx="minor">
      <a:schemeClr val="tx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spPr>
      <a:ln w="3175" cap="flat" cmpd="sng" algn="ctr">
        <a:solidFill>
          <a:schemeClr val="tx1">
            <a:lumMod val="15000"/>
            <a:lumOff val="85000"/>
          </a:schemeClr>
        </a:solidFill>
        <a:round/>
        <a:tailEnd type="none" w="med" len="lg"/>
      </a:ln>
    </cs:spPr>
    <cs:defRPr sz="900" kern="1200"/>
  </cs:seriesAxis>
  <cs:seriesLine>
    <cs:lnRef idx="0"/>
    <cs:fillRef idx="0"/>
    <cs:effectRef idx="0"/>
    <cs:fontRef idx="minor">
      <a:schemeClr val="tx1"/>
    </cs:fontRef>
    <cs:spPr>
      <a:ln w="9525">
        <a:solidFill>
          <a:schemeClr val="tx1">
            <a:lumMod val="35000"/>
            <a:lumOff val="65000"/>
          </a:schemeClr>
        </a:solidFill>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tx1"/>
    </cs:fontRef>
    <cs:spPr>
      <a:ln w="12700" cap="rnd"/>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67AED-D19F-459D-BDB0-6F2739CEE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78BB8003</Template>
  <TotalTime>0</TotalTime>
  <Pages>5</Pages>
  <Words>765</Words>
  <Characters>4365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School District of Philadelphia</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Edward Kingston (Student Employment Cert Office)</dc:creator>
  <cp:keywords/>
  <dc:description/>
  <cp:lastModifiedBy>Renee M Novello</cp:lastModifiedBy>
  <cp:revision>2</cp:revision>
  <dcterms:created xsi:type="dcterms:W3CDTF">2018-06-06T13:51:00Z</dcterms:created>
  <dcterms:modified xsi:type="dcterms:W3CDTF">2018-06-06T13:51:00Z</dcterms:modified>
</cp:coreProperties>
</file>